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D3F2D" w:rsidRDefault="00B72322" w:rsidP="00591E2C">
      <w:pPr>
        <w:spacing w:before="240" w:after="240" w:line="360" w:lineRule="auto"/>
        <w:jc w:val="both"/>
        <w:rPr>
          <w:rFonts w:ascii="Palatino Linotype" w:hAnsi="Palatino Linotype"/>
          <w:b/>
        </w:rPr>
      </w:pPr>
      <w:r w:rsidRPr="005D3F2D">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5D3F2D">
        <w:rPr>
          <w:rFonts w:ascii="Palatino Linotype" w:hAnsi="Palatino Linotype"/>
          <w:b/>
        </w:rPr>
        <w:t xml:space="preserve">VOTO PARTICULAR </w:t>
      </w:r>
      <w:r w:rsidR="00551987" w:rsidRPr="005D3F2D">
        <w:rPr>
          <w:rFonts w:ascii="Palatino Linotype" w:hAnsi="Palatino Linotype"/>
          <w:b/>
        </w:rPr>
        <w:t>QUE</w:t>
      </w:r>
      <w:r w:rsidR="003E5641" w:rsidRPr="005D3F2D">
        <w:rPr>
          <w:rFonts w:ascii="Palatino Linotype" w:hAnsi="Palatino Linotype"/>
          <w:b/>
        </w:rPr>
        <w:t xml:space="preserve"> FORMULA</w:t>
      </w:r>
      <w:r w:rsidR="00551987" w:rsidRPr="005D3F2D">
        <w:rPr>
          <w:rFonts w:ascii="Palatino Linotype" w:hAnsi="Palatino Linotype"/>
          <w:b/>
        </w:rPr>
        <w:t xml:space="preserve"> </w:t>
      </w:r>
      <w:r w:rsidR="003E5641" w:rsidRPr="005D3F2D">
        <w:rPr>
          <w:rFonts w:ascii="Palatino Linotype" w:hAnsi="Palatino Linotype"/>
          <w:b/>
        </w:rPr>
        <w:t>EL COMISIONADO JAVIER MARTÍNEZ CRUZ</w:t>
      </w:r>
      <w:r w:rsidR="00551987" w:rsidRPr="005D3F2D">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532C4A">
        <w:rPr>
          <w:rFonts w:ascii="Palatino Linotype" w:hAnsi="Palatino Linotype"/>
          <w:b/>
        </w:rPr>
        <w:t xml:space="preserve">PRIMERA </w:t>
      </w:r>
      <w:r w:rsidR="0022313A" w:rsidRPr="005D3F2D">
        <w:rPr>
          <w:rFonts w:ascii="Palatino Linotype" w:hAnsi="Palatino Linotype"/>
          <w:b/>
        </w:rPr>
        <w:t>S</w:t>
      </w:r>
      <w:r w:rsidR="00551987" w:rsidRPr="005D3F2D">
        <w:rPr>
          <w:rFonts w:ascii="Palatino Linotype" w:hAnsi="Palatino Linotype"/>
          <w:b/>
        </w:rPr>
        <w:t>ES</w:t>
      </w:r>
      <w:r w:rsidR="00952FDA" w:rsidRPr="005D3F2D">
        <w:rPr>
          <w:rFonts w:ascii="Palatino Linotype" w:hAnsi="Palatino Linotype"/>
          <w:b/>
        </w:rPr>
        <w:t xml:space="preserve">IÓN ORDINARIA DEL </w:t>
      </w:r>
      <w:r w:rsidR="00532C4A">
        <w:rPr>
          <w:rFonts w:ascii="Palatino Linotype" w:hAnsi="Palatino Linotype"/>
          <w:b/>
        </w:rPr>
        <w:t xml:space="preserve">NUEVE DE ENERO </w:t>
      </w:r>
      <w:r w:rsidR="00551987" w:rsidRPr="005D3F2D">
        <w:rPr>
          <w:rFonts w:ascii="Palatino Linotype" w:hAnsi="Palatino Linotype"/>
          <w:b/>
        </w:rPr>
        <w:t>DE DOS MIL DIECI</w:t>
      </w:r>
      <w:r w:rsidR="00532C4A">
        <w:rPr>
          <w:rFonts w:ascii="Palatino Linotype" w:hAnsi="Palatino Linotype"/>
          <w:b/>
        </w:rPr>
        <w:t>NUEV</w:t>
      </w:r>
      <w:r w:rsidR="00664FA6">
        <w:rPr>
          <w:rFonts w:ascii="Palatino Linotype" w:hAnsi="Palatino Linotype"/>
          <w:b/>
        </w:rPr>
        <w:t>E</w:t>
      </w:r>
      <w:r w:rsidR="00551987" w:rsidRPr="005D3F2D">
        <w:rPr>
          <w:rFonts w:ascii="Palatino Linotype" w:hAnsi="Palatino Linotype"/>
          <w:b/>
        </w:rPr>
        <w:t>, EN</w:t>
      </w:r>
      <w:r w:rsidR="00AA742A" w:rsidRPr="005D3F2D">
        <w:rPr>
          <w:rFonts w:ascii="Palatino Linotype" w:hAnsi="Palatino Linotype"/>
          <w:b/>
        </w:rPr>
        <w:t xml:space="preserve"> EL </w:t>
      </w:r>
      <w:r w:rsidR="00551987" w:rsidRPr="005D3F2D">
        <w:rPr>
          <w:rFonts w:ascii="Palatino Linotype" w:hAnsi="Palatino Linotype"/>
          <w:b/>
        </w:rPr>
        <w:t xml:space="preserve">RECURSO DE REVISIÓN </w:t>
      </w:r>
      <w:r w:rsidR="00371AFE" w:rsidRPr="005D3F2D">
        <w:rPr>
          <w:rFonts w:ascii="Palatino Linotype" w:hAnsi="Palatino Linotype"/>
          <w:b/>
          <w:bCs/>
        </w:rPr>
        <w:t>03</w:t>
      </w:r>
      <w:r w:rsidR="00532C4A">
        <w:rPr>
          <w:rFonts w:ascii="Palatino Linotype" w:hAnsi="Palatino Linotype"/>
          <w:b/>
          <w:bCs/>
        </w:rPr>
        <w:t>976</w:t>
      </w:r>
      <w:r w:rsidR="00EA52DE" w:rsidRPr="005D3F2D">
        <w:rPr>
          <w:rFonts w:ascii="Palatino Linotype" w:hAnsi="Palatino Linotype"/>
          <w:b/>
          <w:bCs/>
        </w:rPr>
        <w:t>/INFOEM/IP/RR/2018</w:t>
      </w:r>
      <w:r w:rsidR="00591E2C">
        <w:rPr>
          <w:rFonts w:ascii="Palatino Linotype" w:hAnsi="Palatino Linotype"/>
          <w:b/>
          <w:bCs/>
        </w:rPr>
        <w:t xml:space="preserve"> Y </w:t>
      </w:r>
      <w:r w:rsidR="00591E2C" w:rsidRPr="00591E2C">
        <w:rPr>
          <w:rFonts w:ascii="Palatino Linotype" w:hAnsi="Palatino Linotype"/>
          <w:b/>
          <w:bCs/>
        </w:rPr>
        <w:t>0</w:t>
      </w:r>
      <w:r w:rsidR="00532C4A">
        <w:rPr>
          <w:rFonts w:ascii="Palatino Linotype" w:hAnsi="Palatino Linotype"/>
          <w:b/>
          <w:bCs/>
        </w:rPr>
        <w:t>4050</w:t>
      </w:r>
      <w:r w:rsidR="00591E2C" w:rsidRPr="00591E2C">
        <w:rPr>
          <w:rFonts w:ascii="Palatino Linotype" w:hAnsi="Palatino Linotype"/>
          <w:b/>
          <w:bCs/>
        </w:rPr>
        <w:t>/INFOEM/IP/RR/2018 ACUMULADOS</w:t>
      </w:r>
      <w:r w:rsidR="00EA52DE" w:rsidRPr="005D3F2D">
        <w:rPr>
          <w:rFonts w:ascii="Palatino Linotype" w:hAnsi="Palatino Linotype"/>
          <w:b/>
          <w:bCs/>
        </w:rPr>
        <w:t>.</w:t>
      </w:r>
    </w:p>
    <w:p w:rsidR="00551987" w:rsidRPr="005D3F2D" w:rsidRDefault="00B72322" w:rsidP="000E7C2C">
      <w:pPr>
        <w:spacing w:before="240" w:after="240" w:line="360" w:lineRule="auto"/>
        <w:jc w:val="both"/>
        <w:rPr>
          <w:rFonts w:ascii="Palatino Linotype" w:hAnsi="Palatino Linotype"/>
        </w:rPr>
      </w:pPr>
      <w:r w:rsidRPr="005D3F2D">
        <w:rPr>
          <w:rFonts w:ascii="Palatino Linotype" w:hAnsi="Palatino Linotype"/>
        </w:rPr>
        <w:t>El Pleno del Instituto de Transparencia, Acceso a la Información Pública y Protección de Datos Personales del Estado de México resolvió por unanimidad de voto</w:t>
      </w:r>
      <w:r w:rsidR="007B3391" w:rsidRPr="005D3F2D">
        <w:rPr>
          <w:rFonts w:ascii="Palatino Linotype" w:hAnsi="Palatino Linotype"/>
        </w:rPr>
        <w:t>s,</w:t>
      </w:r>
      <w:r w:rsidR="0043077C" w:rsidRPr="005D3F2D">
        <w:rPr>
          <w:rFonts w:ascii="Palatino Linotype" w:hAnsi="Palatino Linotype"/>
        </w:rPr>
        <w:t xml:space="preserve"> la resolución relativa a</w:t>
      </w:r>
      <w:r w:rsidR="00CA4DC5" w:rsidRPr="005D3F2D">
        <w:rPr>
          <w:rFonts w:ascii="Palatino Linotype" w:hAnsi="Palatino Linotype"/>
        </w:rPr>
        <w:t xml:space="preserve">l </w:t>
      </w:r>
      <w:r w:rsidRPr="005D3F2D">
        <w:rPr>
          <w:rFonts w:ascii="Palatino Linotype" w:hAnsi="Palatino Linotype"/>
        </w:rPr>
        <w:t xml:space="preserve">recurso de revisión </w:t>
      </w:r>
      <w:r w:rsidR="003E5641" w:rsidRPr="005D3F2D">
        <w:rPr>
          <w:rFonts w:ascii="Palatino Linotype" w:hAnsi="Palatino Linotype" w:cs="Arial"/>
          <w:b/>
          <w:bCs/>
          <w:lang w:eastAsia="es-MX"/>
        </w:rPr>
        <w:t>0</w:t>
      </w:r>
      <w:r w:rsidR="00371AFE" w:rsidRPr="005D3F2D">
        <w:rPr>
          <w:rFonts w:ascii="Palatino Linotype" w:hAnsi="Palatino Linotype" w:cs="Arial"/>
          <w:b/>
          <w:bCs/>
          <w:lang w:eastAsia="es-MX"/>
        </w:rPr>
        <w:t>3</w:t>
      </w:r>
      <w:r w:rsidR="00532C4A">
        <w:rPr>
          <w:rFonts w:ascii="Palatino Linotype" w:hAnsi="Palatino Linotype" w:cs="Arial"/>
          <w:b/>
          <w:bCs/>
          <w:lang w:eastAsia="es-MX"/>
        </w:rPr>
        <w:t>976</w:t>
      </w:r>
      <w:r w:rsidR="007B3391" w:rsidRPr="005D3F2D">
        <w:rPr>
          <w:rFonts w:ascii="Palatino Linotype" w:hAnsi="Palatino Linotype" w:cs="Arial"/>
          <w:b/>
          <w:bCs/>
          <w:lang w:eastAsia="es-MX"/>
        </w:rPr>
        <w:t>/INFOEM/IP/RR/2018</w:t>
      </w:r>
      <w:r w:rsidR="00591E2C">
        <w:rPr>
          <w:rFonts w:ascii="Palatino Linotype" w:hAnsi="Palatino Linotype" w:cs="Arial"/>
          <w:b/>
          <w:bCs/>
          <w:lang w:eastAsia="es-MX"/>
        </w:rPr>
        <w:t xml:space="preserve"> y </w:t>
      </w:r>
      <w:r w:rsidR="00591E2C" w:rsidRPr="00591E2C">
        <w:rPr>
          <w:rFonts w:ascii="Palatino Linotype" w:hAnsi="Palatino Linotype" w:cs="Arial"/>
          <w:b/>
          <w:bCs/>
          <w:lang w:eastAsia="es-MX"/>
        </w:rPr>
        <w:t>0</w:t>
      </w:r>
      <w:r w:rsidR="00532C4A">
        <w:rPr>
          <w:rFonts w:ascii="Palatino Linotype" w:hAnsi="Palatino Linotype" w:cs="Arial"/>
          <w:b/>
          <w:bCs/>
          <w:lang w:eastAsia="es-MX"/>
        </w:rPr>
        <w:t>4050</w:t>
      </w:r>
      <w:r w:rsidR="00591E2C" w:rsidRPr="00591E2C">
        <w:rPr>
          <w:rFonts w:ascii="Palatino Linotype" w:hAnsi="Palatino Linotype" w:cs="Arial"/>
          <w:b/>
          <w:bCs/>
          <w:lang w:eastAsia="es-MX"/>
        </w:rPr>
        <w:t>/INFOEM/IP/RR/2018</w:t>
      </w:r>
      <w:r w:rsidR="00591E2C" w:rsidRPr="00591E2C">
        <w:rPr>
          <w:rFonts w:ascii="Palatino Linotype" w:hAnsi="Palatino Linotype" w:cs="Arial"/>
          <w:bCs/>
          <w:lang w:eastAsia="es-MX"/>
        </w:rPr>
        <w:t xml:space="preserve"> acumulados</w:t>
      </w:r>
      <w:r w:rsidR="00EA52DE" w:rsidRPr="005D3F2D">
        <w:rPr>
          <w:rFonts w:ascii="Palatino Linotype" w:hAnsi="Palatino Linotype" w:cs="Arial"/>
          <w:b/>
          <w:bCs/>
          <w:lang w:eastAsia="es-MX"/>
        </w:rPr>
        <w:t xml:space="preserve">, </w:t>
      </w:r>
      <w:r w:rsidRPr="005D3F2D">
        <w:rPr>
          <w:rFonts w:ascii="Palatino Linotype" w:hAnsi="Palatino Linotype"/>
        </w:rPr>
        <w:t xml:space="preserve">presentada por </w:t>
      </w:r>
      <w:r w:rsidR="00371AFE" w:rsidRPr="005D3F2D">
        <w:rPr>
          <w:rFonts w:ascii="Palatino Linotype" w:hAnsi="Palatino Linotype"/>
        </w:rPr>
        <w:t>el</w:t>
      </w:r>
      <w:r w:rsidR="00A5140D" w:rsidRPr="005D3F2D">
        <w:rPr>
          <w:rFonts w:ascii="Palatino Linotype" w:hAnsi="Palatino Linotype"/>
        </w:rPr>
        <w:t xml:space="preserve"> Comisionad</w:t>
      </w:r>
      <w:r w:rsidR="00371AFE" w:rsidRPr="005D3F2D">
        <w:rPr>
          <w:rFonts w:ascii="Palatino Linotype" w:hAnsi="Palatino Linotype"/>
        </w:rPr>
        <w:t>o</w:t>
      </w:r>
      <w:r w:rsidRPr="005D3F2D">
        <w:rPr>
          <w:rFonts w:ascii="Palatino Linotype" w:hAnsi="Palatino Linotype"/>
        </w:rPr>
        <w:t xml:space="preserve"> </w:t>
      </w:r>
      <w:r w:rsidR="00F935BE" w:rsidRPr="005D3F2D">
        <w:rPr>
          <w:rFonts w:ascii="Palatino Linotype" w:hAnsi="Palatino Linotype"/>
        </w:rPr>
        <w:t>Luis Gustavo Parra Noriega</w:t>
      </w:r>
      <w:r w:rsidRPr="005D3F2D">
        <w:rPr>
          <w:rFonts w:ascii="Palatino Linotype" w:hAnsi="Palatino Linotype"/>
        </w:rPr>
        <w:t xml:space="preserve">, </w:t>
      </w:r>
      <w:r w:rsidR="003E5641" w:rsidRPr="005D3F2D">
        <w:rPr>
          <w:rFonts w:ascii="Palatino Linotype" w:hAnsi="Palatino Linotype"/>
        </w:rPr>
        <w:t xml:space="preserve">respecto de la cual el Comisionado Javier Martínez Cruz emite </w:t>
      </w:r>
      <w:r w:rsidR="003E5641" w:rsidRPr="005D3F2D">
        <w:rPr>
          <w:rFonts w:ascii="Palatino Linotype" w:hAnsi="Palatino Linotype"/>
          <w:b/>
        </w:rPr>
        <w:t>VOTO PARTICULAR</w:t>
      </w:r>
      <w:r w:rsidR="00551987" w:rsidRPr="005D3F2D">
        <w:rPr>
          <w:rFonts w:ascii="Palatino Linotype" w:hAnsi="Palatino Linotype"/>
        </w:rPr>
        <w:t xml:space="preserve"> con fundamento en el artículo 14 fracción XI del Reglamento del Instituto de Transparencia, Acceso a la Información Pública y Protección de Personales Datos del Estado de México.</w:t>
      </w:r>
    </w:p>
    <w:p w:rsidR="00B479ED" w:rsidRDefault="00CB409F" w:rsidP="000E7C2C">
      <w:pPr>
        <w:spacing w:before="240" w:after="240" w:line="360" w:lineRule="auto"/>
        <w:jc w:val="both"/>
        <w:rPr>
          <w:rFonts w:ascii="Palatino Linotype" w:hAnsi="Palatino Linotype"/>
        </w:rPr>
      </w:pPr>
      <w:r w:rsidRPr="005D3F2D">
        <w:rPr>
          <w:rFonts w:ascii="Palatino Linotype" w:hAnsi="Palatino Linotype"/>
        </w:rPr>
        <w:t>L</w:t>
      </w:r>
      <w:r w:rsidR="00CA4DC5" w:rsidRPr="005D3F2D">
        <w:rPr>
          <w:rFonts w:ascii="Palatino Linotype" w:hAnsi="Palatino Linotype"/>
        </w:rPr>
        <w:t>a materia en que radicó el</w:t>
      </w:r>
      <w:r w:rsidR="009B5C84" w:rsidRPr="005D3F2D">
        <w:rPr>
          <w:rFonts w:ascii="Palatino Linotype" w:hAnsi="Palatino Linotype"/>
        </w:rPr>
        <w:t xml:space="preserve"> recurso</w:t>
      </w:r>
      <w:r w:rsidR="003D235F" w:rsidRPr="005D3F2D">
        <w:rPr>
          <w:rFonts w:ascii="Palatino Linotype" w:hAnsi="Palatino Linotype"/>
        </w:rPr>
        <w:t xml:space="preserve"> de revisión,</w:t>
      </w:r>
      <w:r w:rsidR="002251C2" w:rsidRPr="005D3F2D">
        <w:rPr>
          <w:rFonts w:ascii="Palatino Linotype" w:hAnsi="Palatino Linotype"/>
        </w:rPr>
        <w:t xml:space="preserve"> </w:t>
      </w:r>
      <w:r w:rsidRPr="005D3F2D">
        <w:rPr>
          <w:rFonts w:ascii="Palatino Linotype" w:hAnsi="Palatino Linotype"/>
        </w:rPr>
        <w:t xml:space="preserve">consistió en que </w:t>
      </w:r>
      <w:r w:rsidR="000F548D">
        <w:rPr>
          <w:rFonts w:ascii="Palatino Linotype" w:hAnsi="Palatino Linotype"/>
        </w:rPr>
        <w:t>e</w:t>
      </w:r>
      <w:r w:rsidRPr="005D3F2D">
        <w:rPr>
          <w:rFonts w:ascii="Palatino Linotype" w:hAnsi="Palatino Linotype"/>
        </w:rPr>
        <w:t>l particular pidió a</w:t>
      </w:r>
      <w:r w:rsidR="008203C0">
        <w:rPr>
          <w:rFonts w:ascii="Palatino Linotype" w:hAnsi="Palatino Linotype"/>
        </w:rPr>
        <w:t xml:space="preserve">l Ayuntamiento de </w:t>
      </w:r>
      <w:r w:rsidR="00FF007D">
        <w:rPr>
          <w:rFonts w:ascii="Palatino Linotype" w:hAnsi="Palatino Linotype"/>
        </w:rPr>
        <w:t>Coatepec de Harinas</w:t>
      </w:r>
      <w:r w:rsidR="008203C0">
        <w:rPr>
          <w:rFonts w:ascii="Palatino Linotype" w:hAnsi="Palatino Linotype"/>
        </w:rPr>
        <w:t xml:space="preserve">, </w:t>
      </w:r>
      <w:r w:rsidRPr="005D3F2D">
        <w:rPr>
          <w:rFonts w:ascii="Palatino Linotype" w:hAnsi="Palatino Linotype"/>
        </w:rPr>
        <w:t xml:space="preserve">le proporcionara </w:t>
      </w:r>
      <w:r w:rsidR="008203C0">
        <w:rPr>
          <w:rFonts w:ascii="Palatino Linotype" w:hAnsi="Palatino Linotype"/>
        </w:rPr>
        <w:t xml:space="preserve">la </w:t>
      </w:r>
      <w:r w:rsidRPr="005D3F2D">
        <w:rPr>
          <w:rFonts w:ascii="Palatino Linotype" w:hAnsi="Palatino Linotype"/>
        </w:rPr>
        <w:t xml:space="preserve">información </w:t>
      </w:r>
      <w:r w:rsidR="00B479ED">
        <w:rPr>
          <w:rFonts w:ascii="Palatino Linotype" w:hAnsi="Palatino Linotype"/>
        </w:rPr>
        <w:t xml:space="preserve">descrita </w:t>
      </w:r>
      <w:r w:rsidR="00B479ED" w:rsidRPr="00B479ED">
        <w:rPr>
          <w:rFonts w:ascii="Palatino Linotype" w:eastAsia="Times New Roman" w:hAnsi="Palatino Linotype" w:cs="Tahoma"/>
          <w:bCs/>
          <w:sz w:val="20"/>
          <w:szCs w:val="20"/>
          <w:lang w:val="es-ES" w:eastAsia="es-ES"/>
        </w:rPr>
        <w:t>en las fracciones II, VIII, X, XII, XXV, XXVI, XXVIII, XXX,</w:t>
      </w:r>
      <w:r w:rsidR="00B479ED">
        <w:rPr>
          <w:rFonts w:ascii="Palatino Linotype" w:eastAsia="Times New Roman" w:hAnsi="Palatino Linotype" w:cs="Tahoma"/>
          <w:bCs/>
          <w:sz w:val="20"/>
          <w:szCs w:val="20"/>
          <w:lang w:val="es-ES" w:eastAsia="es-ES"/>
        </w:rPr>
        <w:t xml:space="preserve"> </w:t>
      </w:r>
      <w:r w:rsidR="00B479ED" w:rsidRPr="00FF007D">
        <w:rPr>
          <w:rFonts w:ascii="Palatino Linotype" w:eastAsia="Times New Roman" w:hAnsi="Palatino Linotype" w:cs="Tahoma"/>
          <w:bCs/>
          <w:sz w:val="20"/>
          <w:szCs w:val="20"/>
          <w:lang w:val="es-ES" w:eastAsia="es-ES"/>
        </w:rPr>
        <w:t>XXXII, XXXV, XXX</w:t>
      </w:r>
      <w:r w:rsidR="008203C0" w:rsidRPr="00FF007D">
        <w:rPr>
          <w:rFonts w:ascii="Palatino Linotype" w:eastAsia="Times New Roman" w:hAnsi="Palatino Linotype" w:cs="Tahoma"/>
          <w:bCs/>
          <w:sz w:val="20"/>
          <w:szCs w:val="20"/>
          <w:lang w:val="es-ES" w:eastAsia="es-ES"/>
        </w:rPr>
        <w:t>V</w:t>
      </w:r>
      <w:r w:rsidR="00B479ED" w:rsidRPr="00FF007D">
        <w:rPr>
          <w:rFonts w:ascii="Palatino Linotype" w:eastAsia="Times New Roman" w:hAnsi="Palatino Linotype" w:cs="Tahoma"/>
          <w:bCs/>
          <w:sz w:val="20"/>
          <w:szCs w:val="20"/>
          <w:lang w:val="es-ES" w:eastAsia="es-ES"/>
        </w:rPr>
        <w:t>II,  XXXVIII</w:t>
      </w:r>
      <w:r w:rsidR="00B479ED">
        <w:rPr>
          <w:rFonts w:ascii="Palatino Linotype" w:eastAsia="Times New Roman" w:hAnsi="Palatino Linotype" w:cs="Tahoma"/>
          <w:bCs/>
          <w:sz w:val="20"/>
          <w:szCs w:val="20"/>
          <w:lang w:val="es-ES" w:eastAsia="es-ES"/>
        </w:rPr>
        <w:t xml:space="preserve">, XL, XLVII del artículo 92, </w:t>
      </w:r>
      <w:r w:rsidR="00B479ED" w:rsidRPr="00B479ED">
        <w:rPr>
          <w:rFonts w:ascii="Palatino Linotype" w:eastAsia="Times New Roman" w:hAnsi="Palatino Linotype" w:cs="Tahoma"/>
          <w:bCs/>
          <w:sz w:val="20"/>
          <w:szCs w:val="20"/>
          <w:lang w:val="es-ES" w:eastAsia="es-ES"/>
        </w:rPr>
        <w:t>así como la descrita en el artículo 94, fracción I, inciso b), d) y f)</w:t>
      </w:r>
      <w:r w:rsidR="00B479ED">
        <w:rPr>
          <w:rFonts w:ascii="Palatino Linotype" w:eastAsia="Times New Roman" w:hAnsi="Palatino Linotype" w:cs="Tahoma"/>
          <w:bCs/>
          <w:sz w:val="20"/>
          <w:szCs w:val="20"/>
          <w:lang w:val="es-ES" w:eastAsia="es-ES"/>
        </w:rPr>
        <w:t xml:space="preserve">, ambos </w:t>
      </w:r>
      <w:r w:rsidR="00B479ED" w:rsidRPr="00B479ED">
        <w:rPr>
          <w:rFonts w:ascii="Palatino Linotype" w:eastAsia="Times New Roman" w:hAnsi="Palatino Linotype" w:cs="Tahoma"/>
          <w:bCs/>
          <w:sz w:val="20"/>
          <w:szCs w:val="20"/>
          <w:lang w:val="es-ES" w:eastAsia="es-ES"/>
        </w:rPr>
        <w:t>de la Ley de Transparencia, Acceso a la Información Pública del</w:t>
      </w:r>
      <w:r w:rsidR="00B479ED">
        <w:rPr>
          <w:rFonts w:ascii="Palatino Linotype" w:eastAsia="Times New Roman" w:hAnsi="Palatino Linotype" w:cs="Tahoma"/>
          <w:bCs/>
          <w:sz w:val="20"/>
          <w:szCs w:val="20"/>
          <w:lang w:val="es-ES" w:eastAsia="es-ES"/>
        </w:rPr>
        <w:t xml:space="preserve"> Estado de México y Municipios.</w:t>
      </w:r>
      <w:r w:rsidR="00B479ED" w:rsidRPr="00B479ED">
        <w:rPr>
          <w:rFonts w:ascii="Palatino Linotype" w:eastAsia="Times New Roman" w:hAnsi="Palatino Linotype" w:cs="Tahoma"/>
          <w:bCs/>
          <w:sz w:val="20"/>
          <w:szCs w:val="20"/>
          <w:lang w:val="es-ES" w:eastAsia="es-ES"/>
        </w:rPr>
        <w:t xml:space="preserve"> </w:t>
      </w:r>
    </w:p>
    <w:p w:rsidR="00B479ED" w:rsidRDefault="00B479ED" w:rsidP="000E7C2C">
      <w:pPr>
        <w:spacing w:before="240" w:after="240" w:line="360" w:lineRule="auto"/>
        <w:jc w:val="both"/>
        <w:rPr>
          <w:rFonts w:ascii="Palatino Linotype" w:hAnsi="Palatino Linotype"/>
        </w:rPr>
      </w:pPr>
    </w:p>
    <w:p w:rsidR="00AA5AE9" w:rsidRPr="00AA5AE9" w:rsidRDefault="00C75F15" w:rsidP="000E7C2C">
      <w:pPr>
        <w:spacing w:before="240" w:after="240" w:line="360" w:lineRule="auto"/>
        <w:jc w:val="both"/>
        <w:rPr>
          <w:rFonts w:ascii="Palatino Linotype" w:hAnsi="Palatino Linotype"/>
        </w:rPr>
      </w:pPr>
      <w:r w:rsidRPr="00AA5AE9">
        <w:rPr>
          <w:rFonts w:ascii="Palatino Linotype" w:hAnsi="Palatino Linotype"/>
        </w:rPr>
        <w:lastRenderedPageBreak/>
        <w:t>E</w:t>
      </w:r>
      <w:r w:rsidR="00303E34" w:rsidRPr="00AA5AE9">
        <w:rPr>
          <w:rFonts w:ascii="Palatino Linotype" w:hAnsi="Palatino Linotype"/>
        </w:rPr>
        <w:t>l</w:t>
      </w:r>
      <w:r w:rsidRPr="00AA5AE9">
        <w:rPr>
          <w:rFonts w:ascii="Palatino Linotype" w:hAnsi="Palatino Linotype"/>
        </w:rPr>
        <w:t xml:space="preserve"> Sujeto Obligado </w:t>
      </w:r>
      <w:r w:rsidR="00AA5AE9" w:rsidRPr="00AA5AE9">
        <w:rPr>
          <w:rFonts w:ascii="Palatino Linotype" w:hAnsi="Palatino Linotype"/>
        </w:rPr>
        <w:t xml:space="preserve">en respuesta proporcionó las direcciones web en donde el particular puede consultar la información. </w:t>
      </w:r>
    </w:p>
    <w:p w:rsidR="0066767D" w:rsidRDefault="00AE3D18" w:rsidP="000E7C2C">
      <w:pPr>
        <w:spacing w:before="240" w:after="240" w:line="360" w:lineRule="auto"/>
        <w:jc w:val="both"/>
        <w:rPr>
          <w:rFonts w:ascii="Palatino Linotype" w:hAnsi="Palatino Linotype"/>
        </w:rPr>
      </w:pPr>
      <w:r w:rsidRPr="005D3F2D">
        <w:rPr>
          <w:rFonts w:ascii="Palatino Linotype" w:hAnsi="Palatino Linotype"/>
        </w:rPr>
        <w:t>Inconforme con la</w:t>
      </w:r>
      <w:r w:rsidR="0066767D">
        <w:rPr>
          <w:rFonts w:ascii="Palatino Linotype" w:hAnsi="Palatino Linotype"/>
        </w:rPr>
        <w:t>s</w:t>
      </w:r>
      <w:r w:rsidRPr="005D3F2D">
        <w:rPr>
          <w:rFonts w:ascii="Palatino Linotype" w:hAnsi="Palatino Linotype"/>
        </w:rPr>
        <w:t xml:space="preserve"> respuesta</w:t>
      </w:r>
      <w:r w:rsidR="0066767D">
        <w:rPr>
          <w:rFonts w:ascii="Palatino Linotype" w:hAnsi="Palatino Linotype"/>
        </w:rPr>
        <w:t>s</w:t>
      </w:r>
      <w:r w:rsidR="00E31F49" w:rsidRPr="005D3F2D">
        <w:rPr>
          <w:rFonts w:ascii="Palatino Linotype" w:hAnsi="Palatino Linotype"/>
        </w:rPr>
        <w:t xml:space="preserve">, </w:t>
      </w:r>
      <w:r w:rsidR="0066767D">
        <w:rPr>
          <w:rFonts w:ascii="Palatino Linotype" w:hAnsi="Palatino Linotype"/>
        </w:rPr>
        <w:t xml:space="preserve">el </w:t>
      </w:r>
      <w:r w:rsidR="00E31F49" w:rsidRPr="005D3F2D">
        <w:rPr>
          <w:rFonts w:ascii="Palatino Linotype" w:hAnsi="Palatino Linotype"/>
        </w:rPr>
        <w:t xml:space="preserve">particular </w:t>
      </w:r>
      <w:r w:rsidRPr="005D3F2D">
        <w:rPr>
          <w:rFonts w:ascii="Palatino Linotype" w:hAnsi="Palatino Linotype"/>
        </w:rPr>
        <w:t>procedió a través de</w:t>
      </w:r>
      <w:r w:rsidR="000A37CA">
        <w:rPr>
          <w:rFonts w:ascii="Palatino Linotype" w:hAnsi="Palatino Linotype"/>
        </w:rPr>
        <w:t xml:space="preserve"> </w:t>
      </w:r>
      <w:r w:rsidR="00DF6EE0" w:rsidRPr="005D3F2D">
        <w:rPr>
          <w:rFonts w:ascii="Palatino Linotype" w:hAnsi="Palatino Linotype"/>
        </w:rPr>
        <w:t>l</w:t>
      </w:r>
      <w:r w:rsidR="000A37CA">
        <w:rPr>
          <w:rFonts w:ascii="Palatino Linotype" w:hAnsi="Palatino Linotype"/>
        </w:rPr>
        <w:t>os</w:t>
      </w:r>
      <w:r w:rsidR="00DF6EE0" w:rsidRPr="005D3F2D">
        <w:rPr>
          <w:rFonts w:ascii="Palatino Linotype" w:hAnsi="Palatino Linotype"/>
        </w:rPr>
        <w:t xml:space="preserve"> </w:t>
      </w:r>
      <w:r w:rsidR="009B2B5C" w:rsidRPr="005D3F2D">
        <w:rPr>
          <w:rFonts w:ascii="Palatino Linotype" w:hAnsi="Palatino Linotype"/>
        </w:rPr>
        <w:t>recurso</w:t>
      </w:r>
      <w:r w:rsidR="000A37CA">
        <w:rPr>
          <w:rFonts w:ascii="Palatino Linotype" w:hAnsi="Palatino Linotype"/>
        </w:rPr>
        <w:t>s</w:t>
      </w:r>
      <w:r w:rsidR="009B2B5C" w:rsidRPr="005D3F2D">
        <w:rPr>
          <w:rFonts w:ascii="Palatino Linotype" w:hAnsi="Palatino Linotype"/>
        </w:rPr>
        <w:t xml:space="preserve"> de revisión que se resuelve</w:t>
      </w:r>
      <w:r w:rsidR="000A37CA">
        <w:rPr>
          <w:rFonts w:ascii="Palatino Linotype" w:hAnsi="Palatino Linotype"/>
        </w:rPr>
        <w:t>n</w:t>
      </w:r>
      <w:r w:rsidRPr="005D3F2D">
        <w:rPr>
          <w:rFonts w:ascii="Palatino Linotype" w:hAnsi="Palatino Linotype"/>
        </w:rPr>
        <w:t xml:space="preserve">, </w:t>
      </w:r>
      <w:r w:rsidR="009B2B5C" w:rsidRPr="005D3F2D">
        <w:rPr>
          <w:rFonts w:ascii="Palatino Linotype" w:hAnsi="Palatino Linotype"/>
        </w:rPr>
        <w:t>manifestando</w:t>
      </w:r>
      <w:r w:rsidR="00AA5AE9">
        <w:rPr>
          <w:rFonts w:ascii="Palatino Linotype" w:hAnsi="Palatino Linotype"/>
        </w:rPr>
        <w:t xml:space="preserve"> en ambos como </w:t>
      </w:r>
      <w:r w:rsidR="00AA5AE9" w:rsidRPr="00AA5AE9">
        <w:rPr>
          <w:rFonts w:ascii="Palatino Linotype" w:hAnsi="Palatino Linotype"/>
          <w:b/>
        </w:rPr>
        <w:t>acto impugnado</w:t>
      </w:r>
      <w:r w:rsidR="00AA5AE9">
        <w:rPr>
          <w:rFonts w:ascii="Palatino Linotype" w:hAnsi="Palatino Linotype"/>
        </w:rPr>
        <w:t xml:space="preserve"> la entrega de información incompleta </w:t>
      </w:r>
      <w:r w:rsidR="0066767D">
        <w:rPr>
          <w:rFonts w:ascii="Palatino Linotype" w:hAnsi="Palatino Linotype"/>
        </w:rPr>
        <w:t xml:space="preserve">concretamente </w:t>
      </w:r>
      <w:r w:rsidR="00BD0B9F" w:rsidRPr="005D3F2D">
        <w:rPr>
          <w:rFonts w:ascii="Palatino Linotype" w:hAnsi="Palatino Linotype"/>
        </w:rPr>
        <w:t xml:space="preserve">como </w:t>
      </w:r>
      <w:r w:rsidR="00BD0B9F" w:rsidRPr="005D3F2D">
        <w:rPr>
          <w:rFonts w:ascii="Palatino Linotype" w:hAnsi="Palatino Linotype"/>
          <w:b/>
        </w:rPr>
        <w:t>motivos de inconformidad</w:t>
      </w:r>
      <w:r w:rsidR="00CC7EFB" w:rsidRPr="005D3F2D">
        <w:rPr>
          <w:rFonts w:ascii="Palatino Linotype" w:hAnsi="Palatino Linotype"/>
          <w:b/>
        </w:rPr>
        <w:t xml:space="preserve"> </w:t>
      </w:r>
      <w:r w:rsidR="00CC7EFB" w:rsidRPr="005D3F2D">
        <w:rPr>
          <w:rFonts w:ascii="Palatino Linotype" w:hAnsi="Palatino Linotype"/>
        </w:rPr>
        <w:t xml:space="preserve">que </w:t>
      </w:r>
      <w:r w:rsidR="00AA5AE9">
        <w:rPr>
          <w:rFonts w:ascii="Palatino Linotype" w:hAnsi="Palatino Linotype"/>
        </w:rPr>
        <w:t xml:space="preserve">el Sujeto Obligado debe poner a su disposición la información solicitada, del periodo comprendido del 11 de septiembre de 2017 al 11 de septiembre de 2018; </w:t>
      </w:r>
      <w:r w:rsidR="00AA5AE9" w:rsidRPr="00AA5AE9">
        <w:rPr>
          <w:rFonts w:ascii="Palatino Linotype" w:eastAsia="Times New Roman" w:hAnsi="Palatino Linotype" w:cs="Tahoma"/>
          <w:bCs/>
          <w:lang w:val="es-ES" w:eastAsia="es-ES"/>
        </w:rPr>
        <w:t>que procedió a verificar la liga proporcionada por el Sujeto Obligado en su respuesta, mencionando diversas irregularidades en el llenado, actualización y presentación de las obligaciones de Transparencia del Sujeto Obligado</w:t>
      </w:r>
      <w:r w:rsidR="00AA5AE9">
        <w:rPr>
          <w:rFonts w:ascii="Palatino Linotype" w:eastAsia="Times New Roman" w:hAnsi="Palatino Linotype" w:cs="Tahoma"/>
          <w:bCs/>
          <w:lang w:val="es-ES" w:eastAsia="es-ES"/>
        </w:rPr>
        <w:t>.</w:t>
      </w:r>
      <w:r w:rsidR="006D731B">
        <w:rPr>
          <w:rFonts w:ascii="Palatino Linotype" w:hAnsi="Palatino Linotype"/>
        </w:rPr>
        <w:t xml:space="preserve"> </w:t>
      </w:r>
    </w:p>
    <w:p w:rsidR="00BF7A3F" w:rsidRDefault="00CC7EFB" w:rsidP="00BF7A3F">
      <w:pPr>
        <w:spacing w:before="240" w:after="240" w:line="360" w:lineRule="auto"/>
        <w:jc w:val="both"/>
        <w:rPr>
          <w:rFonts w:ascii="Palatino Linotype" w:hAnsi="Palatino Linotype"/>
        </w:rPr>
      </w:pPr>
      <w:r w:rsidRPr="005D3F2D">
        <w:rPr>
          <w:rFonts w:ascii="Palatino Linotype" w:hAnsi="Palatino Linotype"/>
        </w:rPr>
        <w:t>E</w:t>
      </w:r>
      <w:r w:rsidR="00170859" w:rsidRPr="005D3F2D">
        <w:rPr>
          <w:rFonts w:ascii="Palatino Linotype" w:hAnsi="Palatino Linotype"/>
        </w:rPr>
        <w:t xml:space="preserve">l Sujeto Obligado </w:t>
      </w:r>
      <w:r w:rsidR="00683DDE" w:rsidRPr="005D3F2D">
        <w:rPr>
          <w:rFonts w:ascii="Palatino Linotype" w:hAnsi="Palatino Linotype"/>
        </w:rPr>
        <w:t xml:space="preserve">rindió </w:t>
      </w:r>
      <w:r w:rsidR="005C066F">
        <w:rPr>
          <w:rFonts w:ascii="Palatino Linotype" w:hAnsi="Palatino Linotype"/>
        </w:rPr>
        <w:t>sus i</w:t>
      </w:r>
      <w:r w:rsidR="00170859" w:rsidRPr="005D3F2D">
        <w:rPr>
          <w:rFonts w:ascii="Palatino Linotype" w:hAnsi="Palatino Linotype"/>
        </w:rPr>
        <w:t>nforme</w:t>
      </w:r>
      <w:r w:rsidR="005C066F">
        <w:rPr>
          <w:rFonts w:ascii="Palatino Linotype" w:hAnsi="Palatino Linotype"/>
        </w:rPr>
        <w:t>s j</w:t>
      </w:r>
      <w:r w:rsidR="00170859" w:rsidRPr="005D3F2D">
        <w:rPr>
          <w:rFonts w:ascii="Palatino Linotype" w:hAnsi="Palatino Linotype"/>
        </w:rPr>
        <w:t>ustificado</w:t>
      </w:r>
      <w:r w:rsidR="005C066F">
        <w:rPr>
          <w:rFonts w:ascii="Palatino Linotype" w:hAnsi="Palatino Linotype"/>
        </w:rPr>
        <w:t>s</w:t>
      </w:r>
      <w:r w:rsidR="00683DDE" w:rsidRPr="005D3F2D">
        <w:rPr>
          <w:rFonts w:ascii="Palatino Linotype" w:hAnsi="Palatino Linotype"/>
        </w:rPr>
        <w:t xml:space="preserve"> </w:t>
      </w:r>
      <w:r w:rsidR="005C066F">
        <w:rPr>
          <w:rFonts w:ascii="Palatino Linotype" w:hAnsi="Palatino Linotype"/>
        </w:rPr>
        <w:t xml:space="preserve">a través de los cuales confirmo sus respuestas, motivo por el cual la Ponencia resolutora no dio vista de ellos. </w:t>
      </w:r>
    </w:p>
    <w:p w:rsidR="00404B2C" w:rsidRDefault="00C3081A" w:rsidP="00200F70">
      <w:pPr>
        <w:spacing w:line="360" w:lineRule="auto"/>
        <w:jc w:val="both"/>
        <w:rPr>
          <w:rFonts w:ascii="Palatino Linotype" w:eastAsia="Times New Roman" w:hAnsi="Palatino Linotype" w:cs="Tahoma"/>
          <w:lang w:eastAsia="es-ES"/>
        </w:rPr>
      </w:pPr>
      <w:r w:rsidRPr="00797265">
        <w:rPr>
          <w:rFonts w:ascii="Palatino Linotype" w:hAnsi="Palatino Linotype"/>
        </w:rPr>
        <w:t>En el estudio de fondo de la resolución, la Ponencia resolutora revisó los links de las páginas</w:t>
      </w:r>
      <w:r w:rsidRPr="00837F1F">
        <w:rPr>
          <w:rFonts w:ascii="Palatino Linotype" w:hAnsi="Palatino Linotype"/>
        </w:rPr>
        <w:t xml:space="preserve"> webs proporcionadas por el </w:t>
      </w:r>
      <w:r w:rsidR="00200F70" w:rsidRPr="00837F1F">
        <w:rPr>
          <w:rFonts w:ascii="Palatino Linotype" w:eastAsia="Times New Roman" w:hAnsi="Palatino Linotype" w:cs="Tahoma"/>
          <w:lang w:eastAsia="es-ES"/>
        </w:rPr>
        <w:t>Sujeto Obligado</w:t>
      </w:r>
      <w:r>
        <w:rPr>
          <w:rFonts w:ascii="Palatino Linotype" w:eastAsia="Times New Roman" w:hAnsi="Palatino Linotype" w:cs="Tahoma"/>
          <w:lang w:eastAsia="es-ES"/>
        </w:rPr>
        <w:t xml:space="preserve">, de la cual advirtió que cada una de las fracciones contiene </w:t>
      </w:r>
      <w:r w:rsidR="00404B2C">
        <w:rPr>
          <w:rFonts w:ascii="Palatino Linotype" w:eastAsia="Times New Roman" w:hAnsi="Palatino Linotype" w:cs="Tahoma"/>
          <w:lang w:eastAsia="es-ES"/>
        </w:rPr>
        <w:t xml:space="preserve">información,  no obstante la información es incompleta.  </w:t>
      </w:r>
    </w:p>
    <w:p w:rsidR="00BD7632" w:rsidRDefault="00261F84"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De tal forma, la resolutora analizó la información de cada una de las fracciones y artículos solicitados por el particular, por lo que </w:t>
      </w:r>
      <w:r w:rsidR="00404B2C">
        <w:rPr>
          <w:rFonts w:ascii="Palatino Linotype" w:eastAsia="Times New Roman" w:hAnsi="Palatino Linotype" w:cs="Tahoma"/>
          <w:lang w:eastAsia="es-ES"/>
        </w:rPr>
        <w:t xml:space="preserve">determinó parcialmente fundados los motivos de inconformidad del Recurrente y </w:t>
      </w:r>
      <w:r w:rsidR="00C72436">
        <w:rPr>
          <w:rFonts w:ascii="Palatino Linotype" w:eastAsia="Times New Roman" w:hAnsi="Palatino Linotype" w:cs="Tahoma"/>
          <w:lang w:eastAsia="es-ES"/>
        </w:rPr>
        <w:t>resolvió modificar las respuestas</w:t>
      </w:r>
      <w:r w:rsidR="00404B2C">
        <w:rPr>
          <w:rFonts w:ascii="Palatino Linotype" w:eastAsia="Times New Roman" w:hAnsi="Palatino Linotype" w:cs="Tahoma"/>
          <w:lang w:eastAsia="es-ES"/>
        </w:rPr>
        <w:t>, para o</w:t>
      </w:r>
      <w:r>
        <w:rPr>
          <w:rFonts w:ascii="Palatino Linotype" w:eastAsia="Times New Roman" w:hAnsi="Palatino Linotype" w:cs="Tahoma"/>
          <w:lang w:eastAsia="es-ES"/>
        </w:rPr>
        <w:t>rden</w:t>
      </w:r>
      <w:r w:rsidR="00404B2C">
        <w:rPr>
          <w:rFonts w:ascii="Palatino Linotype" w:eastAsia="Times New Roman" w:hAnsi="Palatino Linotype" w:cs="Tahoma"/>
          <w:lang w:eastAsia="es-ES"/>
        </w:rPr>
        <w:t>ar</w:t>
      </w:r>
      <w:r w:rsidR="00C72436">
        <w:rPr>
          <w:rFonts w:ascii="Palatino Linotype" w:eastAsia="Times New Roman" w:hAnsi="Palatino Linotype" w:cs="Tahoma"/>
          <w:lang w:eastAsia="es-ES"/>
        </w:rPr>
        <w:t xml:space="preserve"> </w:t>
      </w:r>
      <w:r>
        <w:rPr>
          <w:rFonts w:ascii="Palatino Linotype" w:eastAsia="Times New Roman" w:hAnsi="Palatino Linotype" w:cs="Tahoma"/>
          <w:lang w:eastAsia="es-ES"/>
        </w:rPr>
        <w:t>la entrega de la información o</w:t>
      </w:r>
      <w:r w:rsidR="00BD7632">
        <w:rPr>
          <w:rFonts w:ascii="Palatino Linotype" w:eastAsia="Times New Roman" w:hAnsi="Palatino Linotype" w:cs="Tahoma"/>
          <w:lang w:eastAsia="es-ES"/>
        </w:rPr>
        <w:t>mitida</w:t>
      </w:r>
      <w:r w:rsidR="00067471">
        <w:rPr>
          <w:rFonts w:ascii="Palatino Linotype" w:eastAsia="Times New Roman" w:hAnsi="Palatino Linotype" w:cs="Tahoma"/>
          <w:lang w:eastAsia="es-ES"/>
        </w:rPr>
        <w:t xml:space="preserve"> en los términos siguientes: </w:t>
      </w:r>
    </w:p>
    <w:p w:rsidR="00404B2C" w:rsidRPr="00404B2C" w:rsidRDefault="008E47AD" w:rsidP="00404B2C">
      <w:pPr>
        <w:shd w:val="clear" w:color="auto" w:fill="FFFFFF"/>
        <w:spacing w:after="0" w:line="276" w:lineRule="auto"/>
        <w:ind w:left="567" w:right="616"/>
        <w:jc w:val="both"/>
        <w:rPr>
          <w:rFonts w:ascii="Palatino Linotype" w:eastAsia="Calibri" w:hAnsi="Palatino Linotype" w:cs="Tahoma"/>
          <w:bCs/>
          <w:i/>
          <w:lang w:val="es-ES"/>
        </w:rPr>
      </w:pPr>
      <w:r w:rsidRPr="002F02E8">
        <w:rPr>
          <w:rFonts w:ascii="Palatino Linotype" w:eastAsia="Calibri" w:hAnsi="Palatino Linotype" w:cs="Tahoma"/>
          <w:bCs/>
          <w:i/>
          <w:lang w:val="es-ES"/>
        </w:rPr>
        <w:t>“</w:t>
      </w:r>
      <w:r w:rsidR="00404B2C" w:rsidRPr="00404B2C">
        <w:rPr>
          <w:rFonts w:ascii="Palatino Linotype" w:eastAsia="Calibri" w:hAnsi="Palatino Linotype" w:cs="Tahoma"/>
          <w:bCs/>
          <w:i/>
          <w:lang w:val="es-ES"/>
        </w:rPr>
        <w:t>Dentro del periodo comprendido del cinco de septiembre de dos mil diecisiete al treinta y uno de diciembre de dos mil diecisiete:</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p>
    <w:p w:rsidR="00C651B3" w:rsidRPr="00C651B3" w:rsidRDefault="00C651B3" w:rsidP="00C651B3">
      <w:pPr>
        <w:numPr>
          <w:ilvl w:val="0"/>
          <w:numId w:val="15"/>
        </w:numPr>
        <w:shd w:val="clear" w:color="auto" w:fill="FFFFFF"/>
        <w:spacing w:after="0" w:line="240" w:lineRule="auto"/>
        <w:ind w:left="992" w:hanging="357"/>
        <w:contextualSpacing/>
        <w:jc w:val="both"/>
        <w:rPr>
          <w:rFonts w:ascii="Palatino Linotype" w:eastAsia="Calibri" w:hAnsi="Palatino Linotype" w:cs="Tahoma"/>
          <w:bCs/>
          <w:i/>
        </w:rPr>
      </w:pPr>
      <w:r w:rsidRPr="00C651B3">
        <w:rPr>
          <w:rFonts w:ascii="Palatino Linotype" w:eastAsia="Calibri" w:hAnsi="Palatino Linotype" w:cs="Tahoma"/>
          <w:bCs/>
          <w:i/>
        </w:rPr>
        <w:lastRenderedPageBreak/>
        <w:t xml:space="preserve">El organigrama vigente para ese, en caso de que fuera diferente al del año dos mil dieciocho, en caso de que no existan modificaciones </w:t>
      </w:r>
      <w:r w:rsidRPr="00C651B3">
        <w:rPr>
          <w:rFonts w:ascii="Palatino Linotype" w:eastAsia="Times New Roman" w:hAnsi="Palatino Linotype" w:cs="Tahoma"/>
          <w:i/>
          <w:lang w:eastAsia="es-ES"/>
        </w:rPr>
        <w:t>bastará con que así lo indique.</w:t>
      </w:r>
    </w:p>
    <w:p w:rsidR="00C651B3" w:rsidRPr="00C651B3" w:rsidRDefault="00C651B3" w:rsidP="00C651B3">
      <w:pPr>
        <w:numPr>
          <w:ilvl w:val="0"/>
          <w:numId w:val="15"/>
        </w:numPr>
        <w:shd w:val="clear" w:color="auto" w:fill="FFFFFF"/>
        <w:spacing w:after="0" w:line="240" w:lineRule="auto"/>
        <w:ind w:left="992" w:hanging="357"/>
        <w:contextualSpacing/>
        <w:jc w:val="both"/>
        <w:rPr>
          <w:rFonts w:ascii="Palatino Linotype" w:eastAsia="Calibri" w:hAnsi="Palatino Linotype" w:cs="Tahoma"/>
          <w:bCs/>
          <w:i/>
        </w:rPr>
      </w:pPr>
      <w:r w:rsidRPr="00C651B3">
        <w:rPr>
          <w:rFonts w:ascii="Palatino Linotype" w:eastAsia="Calibri" w:hAnsi="Palatino Linotype" w:cs="Tahoma"/>
          <w:bCs/>
          <w:i/>
        </w:rPr>
        <w:t xml:space="preserve">Las remuneraciones; </w:t>
      </w:r>
      <w:r w:rsidRPr="00C651B3">
        <w:rPr>
          <w:rFonts w:ascii="Palatino Linotype" w:eastAsia="Times New Roman" w:hAnsi="Palatino Linotype" w:cs="Tahoma"/>
          <w:i/>
          <w:lang w:eastAsia="es-ES"/>
        </w:rPr>
        <w:t>en caso de que exista información susceptible de actualizar</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Las plazas vacantes, en caso de que durante ese año no haya contado con plazas vacantes, bastará con que así lo indique.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Erogaciones por contratación de servicios (únicamente si ésta ha sufrido alguna actualización que no fue publicada, será necesario que el Sujeto Obligado proporcione la documentación fuente, donde consten las erogaciones por contratación de servicios)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Deuda pública.</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Resultados de auditorías realizadas, en caso de que la información no se hubiera generado, bastará con que así lo indique.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 xml:space="preserve">Resultados de la </w:t>
      </w:r>
      <w:proofErr w:type="spellStart"/>
      <w:r w:rsidRPr="00C651B3">
        <w:rPr>
          <w:rFonts w:ascii="Palatino Linotype" w:eastAsia="Times New Roman" w:hAnsi="Palatino Linotype" w:cs="Tahoma"/>
          <w:i/>
          <w:lang w:eastAsia="es-ES"/>
        </w:rPr>
        <w:t>dictaminación</w:t>
      </w:r>
      <w:proofErr w:type="spellEnd"/>
      <w:r w:rsidRPr="00C651B3">
        <w:rPr>
          <w:rFonts w:ascii="Palatino Linotype" w:eastAsia="Times New Roman" w:hAnsi="Palatino Linotype" w:cs="Tahoma"/>
          <w:i/>
          <w:lang w:eastAsia="es-ES"/>
        </w:rPr>
        <w:t xml:space="preserve"> de estados financieros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Concesiones, contratos, convenios, permisos, licencias o autorizaciones otorgados.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Gasto por capítulo.</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Informes financieros.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Convenios de coordinación.</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Inventario de bienes muebles; Inventario de altas practicadas a bienes muebles (únicamente si ésta ha sufrido alguna actualización que no fue publicada, será necesario que el Sujeto Obligado proporcione la documentación fuente)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Inventario de altas practicadas a bienes inmuebles, así como Inventario de bajas practicadas a bienes inmuebles.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Inventario sobre bienes muebles e inmuebles donados, en caso de que durante estos dos años no se hayan realizado donaciones, bastara con que así lo indique.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Resoluciones y laudos emitidos.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Programas que ha ofrecido, en caso de que no cuente con programas, bastará con que así lo indique.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Presupuestos de egresos de la Entidad, así como en su caso, la versión ciudadana de los presupuestos del Ayuntamiento.</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Egresos y fórmulas de distribución de los recursos.</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Plan de Desarrollo Urbano.</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Tipos de uso de suelo.</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Licencias de uso de suelo.</w:t>
      </w:r>
    </w:p>
    <w:p w:rsidR="00C651B3" w:rsidRPr="00C651B3" w:rsidRDefault="00C651B3" w:rsidP="00C651B3">
      <w:pPr>
        <w:numPr>
          <w:ilvl w:val="0"/>
          <w:numId w:val="15"/>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lastRenderedPageBreak/>
        <w:t>Licencias de construcción.</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r w:rsidRPr="00404B2C">
        <w:rPr>
          <w:rFonts w:ascii="Palatino Linotype" w:eastAsia="Calibri" w:hAnsi="Palatino Linotype" w:cs="Tahoma"/>
          <w:bCs/>
          <w:i/>
          <w:lang w:val="es-ES"/>
        </w:rPr>
        <w:t>Dentro del periodo comprendido del primero de enero de dos mil dieciocho al once de septiembre de dos mil dieciocho:</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Las plazas vacantes, en caso de que durante ese año no haya contado con plazas vacantes, bastará con que así lo indique.</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Total de plazas vacantes y ocupadas</w:t>
      </w:r>
      <w:r w:rsidRPr="00C651B3">
        <w:rPr>
          <w:rFonts w:ascii="Palatino Linotype" w:eastAsia="Calibri" w:hAnsi="Palatino Linotype" w:cs="Tahoma"/>
          <w:bCs/>
          <w:i/>
        </w:rPr>
        <w:t>.</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Los perfiles de puesto.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Presupuesto asignado.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Erogaciones por contratación de servicios (únicamente si ésta ha sufrido alguna actualización que no fue publicada, será necesario que el Sujeto Obligado proporcione la documentación fuente, donde consten las erogaciones por contratación de servicios)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Información financiera de cuenta pública.</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Deuda pública.</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Resultados de auditorías realizadas, en caso de que la información no se hubiera generado, bastará con que así lo indique.</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 xml:space="preserve">Resultados de la </w:t>
      </w:r>
      <w:proofErr w:type="spellStart"/>
      <w:r w:rsidRPr="00C651B3">
        <w:rPr>
          <w:rFonts w:ascii="Palatino Linotype" w:eastAsia="Times New Roman" w:hAnsi="Palatino Linotype" w:cs="Tahoma"/>
          <w:i/>
          <w:lang w:eastAsia="es-ES"/>
        </w:rPr>
        <w:t>dictaminación</w:t>
      </w:r>
      <w:proofErr w:type="spellEnd"/>
      <w:r w:rsidRPr="00C651B3">
        <w:rPr>
          <w:rFonts w:ascii="Palatino Linotype" w:eastAsia="Times New Roman" w:hAnsi="Palatino Linotype" w:cs="Tahoma"/>
          <w:i/>
          <w:lang w:eastAsia="es-ES"/>
        </w:rPr>
        <w:t xml:space="preserve"> de estados financieros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Concesiones, contratos, convenios, permisos, licencias o autorizaciones otorgados.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Gasto por capítulo.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Informes financieros.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Convenios de coordinación.</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Inventario de bienes muebles; Inventario de altas practicadas a bienes muebles (únicamente si ésta ha sufrido alguna actualización que no fue publicada, será necesario que el Sujeto Obligado proporcione la documentación fuente)</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 xml:space="preserve">Inventario de bajas practicadas a bienes muebles; Inventario de bienes inmuebles; </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Resoluciones y laudos emitidos.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Programas que ha ofrecido, en caso de que no cuente con programas, bastará con que así lo indique.</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Trámites para acceder a programas que ofrecen</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Presupuestos de egresos.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Egresos y fórmulas de distribución de los recursos.</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lastRenderedPageBreak/>
        <w:t>Plan de Desarrollo Urbano.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Planes y programas de desarrollo urbano.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Planes y programas de ordenamiento territorial.</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Planes y programas de ordenamiento ecológico.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Tipos de uso de suelo.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Licencias de uso de suelo.</w:t>
      </w:r>
    </w:p>
    <w:p w:rsidR="00C651B3" w:rsidRPr="00C651B3" w:rsidRDefault="00C651B3" w:rsidP="00C651B3">
      <w:pPr>
        <w:numPr>
          <w:ilvl w:val="0"/>
          <w:numId w:val="16"/>
        </w:numPr>
        <w:spacing w:after="0" w:line="240" w:lineRule="auto"/>
        <w:ind w:left="992" w:hanging="357"/>
        <w:contextualSpacing/>
        <w:jc w:val="both"/>
        <w:rPr>
          <w:rFonts w:ascii="Palatino Linotype" w:eastAsia="Times New Roman" w:hAnsi="Palatino Linotype" w:cs="Tahoma"/>
          <w:i/>
          <w:lang w:eastAsia="es-ES"/>
        </w:rPr>
      </w:pPr>
      <w:r w:rsidRPr="00C651B3">
        <w:rPr>
          <w:rFonts w:ascii="Palatino Linotype" w:eastAsia="Times New Roman" w:hAnsi="Palatino Linotype" w:cs="Tahoma"/>
          <w:i/>
          <w:lang w:eastAsia="es-ES"/>
        </w:rPr>
        <w:t>Licencias de construcción</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r w:rsidRPr="00404B2C">
        <w:rPr>
          <w:rFonts w:ascii="Palatino Linotype" w:eastAsia="Calibri" w:hAnsi="Palatino Linotype" w:cs="Tahoma"/>
          <w:bCs/>
          <w:i/>
          <w:lang w:val="es-ES"/>
        </w:rPr>
        <w:t>La documentación que contenga información reservada o confidencial deberá entregarse en versión pública, junto con el acuerdo del Comité de Transparencia, en el que se funde y motive la eliminación de la información de conformidad con lo establecido en los artículos 125, 128, 129, 132, fracción I, 138, 141 y 149 de la Ley de Transparencia y Acceso a la Información Pública de Estado de México y Municipios.</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p>
    <w:p w:rsid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r w:rsidRPr="00404B2C">
        <w:rPr>
          <w:rFonts w:ascii="Palatino Linotype" w:eastAsia="Calibri" w:hAnsi="Palatino Linotype" w:cs="Tahoma"/>
          <w:bCs/>
          <w:i/>
          <w:lang w:val="es-ES"/>
        </w:rPr>
        <w:t>Debido a la cantidad de información y el periodo solicitado, el Ayuntamiento podrá conceder acceso a los documentos mediante consulta directa, en las oficinas del Sujeto Obligado, en términos de lo establecido en el artículo 158 de la Ley de Transparencia y Acceso a la información pública del estado de México y Municipios. Para ello, será necesario que indique dirección, horario de atención (días y horas hábiles), así como el nombre del servidor público que le atenderá.</w:t>
      </w:r>
    </w:p>
    <w:p w:rsidR="00404B2C" w:rsidRPr="00404B2C" w:rsidRDefault="00404B2C" w:rsidP="00404B2C">
      <w:pPr>
        <w:shd w:val="clear" w:color="auto" w:fill="FFFFFF"/>
        <w:spacing w:after="0" w:line="276" w:lineRule="auto"/>
        <w:ind w:left="567" w:right="616"/>
        <w:jc w:val="both"/>
        <w:rPr>
          <w:rFonts w:ascii="Palatino Linotype" w:eastAsia="Calibri" w:hAnsi="Palatino Linotype" w:cs="Tahoma"/>
          <w:bCs/>
          <w:i/>
          <w:lang w:val="es-ES"/>
        </w:rPr>
      </w:pPr>
      <w:r>
        <w:rPr>
          <w:rFonts w:ascii="Palatino Linotype" w:eastAsia="Calibri" w:hAnsi="Palatino Linotype" w:cs="Tahoma"/>
          <w:bCs/>
          <w:i/>
          <w:lang w:val="es-ES"/>
        </w:rPr>
        <w:t>…”</w:t>
      </w:r>
    </w:p>
    <w:p w:rsidR="0012248A" w:rsidRPr="0012248A" w:rsidRDefault="0012248A" w:rsidP="00404B2C">
      <w:pPr>
        <w:shd w:val="clear" w:color="auto" w:fill="FFFFFF"/>
        <w:spacing w:after="0" w:line="276" w:lineRule="auto"/>
        <w:ind w:left="567" w:right="616"/>
        <w:jc w:val="both"/>
        <w:rPr>
          <w:rFonts w:ascii="Palatino Linotype" w:eastAsia="Times New Roman" w:hAnsi="Palatino Linotype" w:cs="Tahoma"/>
          <w:i/>
          <w:lang w:eastAsia="es-ES"/>
        </w:rPr>
      </w:pPr>
    </w:p>
    <w:p w:rsidR="0012248A" w:rsidRPr="0012248A" w:rsidRDefault="0012248A" w:rsidP="0012248A">
      <w:pPr>
        <w:spacing w:after="0" w:line="240" w:lineRule="auto"/>
        <w:jc w:val="both"/>
        <w:rPr>
          <w:rFonts w:ascii="Palatino Linotype" w:eastAsia="Times New Roman" w:hAnsi="Palatino Linotype" w:cs="Tahoma"/>
          <w:sz w:val="16"/>
          <w:szCs w:val="16"/>
          <w:lang w:eastAsia="es-ES"/>
        </w:rPr>
      </w:pPr>
    </w:p>
    <w:p w:rsidR="00BE581A" w:rsidRDefault="00BD7632" w:rsidP="00200F70">
      <w:pPr>
        <w:spacing w:line="360" w:lineRule="auto"/>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 xml:space="preserve">No obstante lo </w:t>
      </w:r>
      <w:r w:rsidR="00067471" w:rsidRPr="00837F1F">
        <w:rPr>
          <w:rFonts w:ascii="Palatino Linotype" w:eastAsia="Times New Roman" w:hAnsi="Palatino Linotype" w:cs="Tahoma"/>
          <w:lang w:eastAsia="es-ES"/>
        </w:rPr>
        <w:t xml:space="preserve">anterior, </w:t>
      </w:r>
      <w:r w:rsidRPr="00837F1F">
        <w:rPr>
          <w:rFonts w:ascii="Palatino Linotype" w:eastAsia="Times New Roman" w:hAnsi="Palatino Linotype" w:cs="Tahoma"/>
          <w:lang w:eastAsia="es-ES"/>
        </w:rPr>
        <w:t>la Ponencia resolutora</w:t>
      </w:r>
      <w:r w:rsidR="002128D6" w:rsidRPr="00837F1F">
        <w:rPr>
          <w:rFonts w:ascii="Palatino Linotype" w:eastAsia="Times New Roman" w:hAnsi="Palatino Linotype" w:cs="Tahoma"/>
          <w:lang w:eastAsia="es-ES"/>
        </w:rPr>
        <w:t xml:space="preserve"> determin</w:t>
      </w:r>
      <w:r w:rsidR="00372AD0">
        <w:rPr>
          <w:rFonts w:ascii="Palatino Linotype" w:eastAsia="Times New Roman" w:hAnsi="Palatino Linotype" w:cs="Tahoma"/>
          <w:lang w:eastAsia="es-ES"/>
        </w:rPr>
        <w:t>ó</w:t>
      </w:r>
      <w:r w:rsidR="002128D6" w:rsidRPr="00837F1F">
        <w:rPr>
          <w:rFonts w:ascii="Palatino Linotype" w:eastAsia="Times New Roman" w:hAnsi="Palatino Linotype" w:cs="Tahoma"/>
          <w:lang w:eastAsia="es-ES"/>
        </w:rPr>
        <w:t xml:space="preserve"> la entrega de la información en </w:t>
      </w:r>
      <w:r w:rsidR="002128D6" w:rsidRPr="00837F1F">
        <w:rPr>
          <w:rFonts w:ascii="Palatino Linotype" w:eastAsia="Times New Roman" w:hAnsi="Palatino Linotype" w:cs="Tahoma"/>
          <w:b/>
          <w:i/>
          <w:lang w:eastAsia="es-ES"/>
        </w:rPr>
        <w:t>“consulta directa”</w:t>
      </w:r>
      <w:r w:rsidR="002128D6" w:rsidRPr="00837F1F">
        <w:rPr>
          <w:rFonts w:ascii="Palatino Linotype" w:eastAsia="Times New Roman" w:hAnsi="Palatino Linotype" w:cs="Tahoma"/>
          <w:lang w:eastAsia="es-ES"/>
        </w:rPr>
        <w:t xml:space="preserve">, es decir,  </w:t>
      </w:r>
      <w:r w:rsidR="00372AD0">
        <w:rPr>
          <w:rFonts w:ascii="Palatino Linotype" w:eastAsia="Times New Roman" w:hAnsi="Palatino Linotype" w:cs="Tahoma"/>
          <w:lang w:eastAsia="es-ES"/>
        </w:rPr>
        <w:t xml:space="preserve">resolvió </w:t>
      </w:r>
      <w:r w:rsidR="00C57109" w:rsidRPr="00837F1F">
        <w:rPr>
          <w:rFonts w:ascii="Palatino Linotype" w:eastAsia="Times New Roman" w:hAnsi="Palatino Linotype" w:cs="Tahoma"/>
          <w:lang w:eastAsia="es-ES"/>
        </w:rPr>
        <w:t xml:space="preserve">el cambio de modalidad de entrega de información solicitada por el particular, quien la requirió a través de su correo electrónico </w:t>
      </w:r>
      <w:r w:rsidR="00BE581A" w:rsidRPr="00837F1F">
        <w:rPr>
          <w:rFonts w:ascii="Palatino Linotype" w:eastAsia="Times New Roman" w:hAnsi="Palatino Linotype" w:cs="Tahoma"/>
          <w:lang w:eastAsia="es-ES"/>
        </w:rPr>
        <w:t xml:space="preserve">personal. </w:t>
      </w:r>
    </w:p>
    <w:p w:rsidR="008E5891" w:rsidRDefault="00BF13CB"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En ese tenor</w:t>
      </w:r>
      <w:r w:rsidR="009E51BB">
        <w:rPr>
          <w:rFonts w:ascii="Palatino Linotype" w:eastAsia="Times New Roman" w:hAnsi="Palatino Linotype" w:cs="Tahoma"/>
          <w:lang w:eastAsia="es-ES"/>
        </w:rPr>
        <w:t xml:space="preserve">, </w:t>
      </w:r>
      <w:r>
        <w:rPr>
          <w:rFonts w:ascii="Palatino Linotype" w:eastAsia="Times New Roman" w:hAnsi="Palatino Linotype" w:cs="Tahoma"/>
          <w:lang w:eastAsia="es-ES"/>
        </w:rPr>
        <w:t xml:space="preserve">se debió atender lo dispuesto </w:t>
      </w:r>
      <w:r w:rsidR="009E51BB">
        <w:rPr>
          <w:rFonts w:ascii="Palatino Linotype" w:eastAsia="Times New Roman" w:hAnsi="Palatino Linotype" w:cs="Tahoma"/>
          <w:lang w:eastAsia="es-ES"/>
        </w:rPr>
        <w:t xml:space="preserve">en </w:t>
      </w:r>
      <w:r>
        <w:rPr>
          <w:rFonts w:ascii="Palatino Linotype" w:eastAsia="Times New Roman" w:hAnsi="Palatino Linotype" w:cs="Tahoma"/>
          <w:lang w:eastAsia="es-ES"/>
        </w:rPr>
        <w:t xml:space="preserve">el artículo 164 de </w:t>
      </w:r>
      <w:r w:rsidRPr="00837F1F">
        <w:rPr>
          <w:rFonts w:ascii="Palatino Linotype" w:eastAsia="Times New Roman" w:hAnsi="Palatino Linotype" w:cs="Tahoma"/>
          <w:lang w:eastAsia="es-ES"/>
        </w:rPr>
        <w:t>nuestra Ley de Transparencia y Acceso a la Información Pública</w:t>
      </w:r>
      <w:r>
        <w:rPr>
          <w:rFonts w:ascii="Palatino Linotype" w:eastAsia="Times New Roman" w:hAnsi="Palatino Linotype" w:cs="Tahoma"/>
          <w:lang w:eastAsia="es-ES"/>
        </w:rPr>
        <w:t>, el cual dispone que el acceso se dará en la modalidad de entrega y, en su caso, de envío elegidos por el solicitante</w:t>
      </w:r>
      <w:r w:rsidR="008E5891">
        <w:rPr>
          <w:rFonts w:ascii="Palatino Linotype" w:eastAsia="Times New Roman" w:hAnsi="Palatino Linotype" w:cs="Tahoma"/>
          <w:lang w:eastAsia="es-ES"/>
        </w:rPr>
        <w:t xml:space="preserve">, sin </w:t>
      </w:r>
      <w:r w:rsidR="009E51BB">
        <w:rPr>
          <w:rFonts w:ascii="Palatino Linotype" w:eastAsia="Times New Roman" w:hAnsi="Palatino Linotype" w:cs="Tahoma"/>
          <w:lang w:eastAsia="es-ES"/>
        </w:rPr>
        <w:t>embar</w:t>
      </w:r>
      <w:r w:rsidR="008E5891">
        <w:rPr>
          <w:rFonts w:ascii="Palatino Linotype" w:eastAsia="Times New Roman" w:hAnsi="Palatino Linotype" w:cs="Tahoma"/>
          <w:lang w:eastAsia="es-ES"/>
        </w:rPr>
        <w:t xml:space="preserve">go, cuando la información no pueda entregarse o enviarse en la modalidad solicitada, el Sujeto </w:t>
      </w:r>
      <w:r w:rsidR="008E5891">
        <w:rPr>
          <w:rFonts w:ascii="Palatino Linotype" w:eastAsia="Times New Roman" w:hAnsi="Palatino Linotype" w:cs="Tahoma"/>
          <w:lang w:eastAsia="es-ES"/>
        </w:rPr>
        <w:lastRenderedPageBreak/>
        <w:t>Obligado deberá ofrecer otra u otras modalidades de entrega</w:t>
      </w:r>
      <w:r w:rsidR="009E51BB">
        <w:rPr>
          <w:rFonts w:ascii="Palatino Linotype" w:eastAsia="Times New Roman" w:hAnsi="Palatino Linotype" w:cs="Tahoma"/>
          <w:lang w:eastAsia="es-ES"/>
        </w:rPr>
        <w:t>, de manera motivada y fundada</w:t>
      </w:r>
      <w:r>
        <w:rPr>
          <w:rFonts w:ascii="Palatino Linotype" w:eastAsia="Times New Roman" w:hAnsi="Palatino Linotype" w:cs="Tahoma"/>
          <w:lang w:eastAsia="es-ES"/>
        </w:rPr>
        <w:t>.</w:t>
      </w:r>
    </w:p>
    <w:p w:rsidR="008E5891" w:rsidRDefault="008E5891"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Discernimiento que encuentra apoyo en lo dispuesto en el Criterio 08/17, emitido por el INAI, cuyo rubro y texto disponen: </w:t>
      </w:r>
    </w:p>
    <w:p w:rsidR="009646BA" w:rsidRDefault="009646BA" w:rsidP="009646BA">
      <w:pPr>
        <w:spacing w:after="0" w:line="240" w:lineRule="auto"/>
        <w:ind w:left="567" w:right="618"/>
        <w:jc w:val="both"/>
        <w:rPr>
          <w:rFonts w:ascii="Palatino Linotype" w:hAnsi="Palatino Linotype"/>
          <w:i/>
        </w:rPr>
      </w:pPr>
      <w:r>
        <w:rPr>
          <w:rFonts w:ascii="Palatino Linotype" w:hAnsi="Palatino Linotype"/>
          <w:i/>
        </w:rPr>
        <w:t>“</w:t>
      </w:r>
      <w:r w:rsidRPr="009646BA">
        <w:rPr>
          <w:rFonts w:ascii="Palatino Linotype" w:hAnsi="Palatino Linotype"/>
          <w:b/>
          <w:i/>
        </w:rPr>
        <w:t>Modalidad de entrega. Procedencia de proporcionar la información solicitada en una diversa a la elegida por el solicitante.</w:t>
      </w:r>
      <w:r w:rsidRPr="009646BA">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 </w:t>
      </w:r>
    </w:p>
    <w:p w:rsidR="00BD4572" w:rsidRDefault="00BD4572" w:rsidP="009646BA">
      <w:pPr>
        <w:spacing w:after="0" w:line="240" w:lineRule="auto"/>
        <w:ind w:left="567" w:right="618"/>
        <w:jc w:val="both"/>
        <w:rPr>
          <w:rFonts w:ascii="Palatino Linotype" w:hAnsi="Palatino Linotype"/>
          <w:i/>
        </w:rPr>
      </w:pPr>
    </w:p>
    <w:p w:rsidR="009646BA" w:rsidRPr="00A418D2" w:rsidRDefault="009646BA" w:rsidP="009646BA">
      <w:pPr>
        <w:spacing w:after="0" w:line="240" w:lineRule="auto"/>
        <w:ind w:left="567" w:right="618"/>
        <w:jc w:val="both"/>
        <w:rPr>
          <w:rFonts w:ascii="Palatino Linotype" w:hAnsi="Palatino Linotype"/>
          <w:b/>
          <w:i/>
        </w:rPr>
      </w:pPr>
      <w:r w:rsidRPr="00A418D2">
        <w:rPr>
          <w:rFonts w:ascii="Palatino Linotype" w:hAnsi="Palatino Linotype"/>
          <w:b/>
          <w:i/>
        </w:rPr>
        <w:t xml:space="preserve">Resoluciones: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0188/16. Secretaría de Desarrollo Agrario, Territorial y Urbano. 17 de agosto de 2016. Por unanimidad. Comisionada Ponente Ximena Puente de la Mora.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4812/16. Secretaría de Educación Pública. 08 de febrero de 2017. Por unanimidad. Comisionado Ponente Oscar Mauricio Guerra Ford. </w:t>
      </w:r>
    </w:p>
    <w:p w:rsidR="009646BA" w:rsidRDefault="009646BA" w:rsidP="009646BA">
      <w:pPr>
        <w:spacing w:after="0" w:line="240" w:lineRule="auto"/>
        <w:ind w:left="567" w:right="618"/>
        <w:jc w:val="both"/>
        <w:rPr>
          <w:rFonts w:ascii="Palatino Linotype" w:eastAsia="Times New Roman" w:hAnsi="Palatino Linotype" w:cs="Tahoma"/>
          <w:i/>
          <w:lang w:eastAsia="es-ES"/>
        </w:rPr>
      </w:pPr>
      <w:r w:rsidRPr="009646BA">
        <w:rPr>
          <w:rFonts w:ascii="Palatino Linotype" w:hAnsi="Palatino Linotype"/>
          <w:i/>
        </w:rPr>
        <w:sym w:font="Symbol" w:char="F0B7"/>
      </w:r>
      <w:r w:rsidRPr="009646BA">
        <w:rPr>
          <w:rFonts w:ascii="Palatino Linotype" w:hAnsi="Palatino Linotype"/>
          <w:i/>
        </w:rPr>
        <w:t xml:space="preserve"> RRA 0359/17. Universidad Nacional Autónoma de México. 01 de marzo de 2017. Por unanimidad. Comisionada Ponente Areli Cano Guadiana.</w:t>
      </w:r>
      <w:r>
        <w:rPr>
          <w:rFonts w:ascii="Palatino Linotype" w:hAnsi="Palatino Linotype"/>
          <w:i/>
        </w:rPr>
        <w:t>”</w:t>
      </w:r>
    </w:p>
    <w:p w:rsidR="009646BA" w:rsidRDefault="009646BA" w:rsidP="009646BA">
      <w:pPr>
        <w:spacing w:after="0" w:line="240" w:lineRule="auto"/>
        <w:ind w:right="618"/>
        <w:jc w:val="both"/>
        <w:rPr>
          <w:rFonts w:ascii="Palatino Linotype" w:hAnsi="Palatino Linotype"/>
          <w:i/>
        </w:rPr>
      </w:pPr>
    </w:p>
    <w:p w:rsidR="002F7CD0" w:rsidRDefault="00BE581A" w:rsidP="009646BA">
      <w:pPr>
        <w:spacing w:after="0" w:line="360" w:lineRule="auto"/>
        <w:ind w:right="49"/>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A</w:t>
      </w:r>
      <w:r w:rsidR="009646BA">
        <w:rPr>
          <w:rFonts w:ascii="Palatino Linotype" w:eastAsia="Times New Roman" w:hAnsi="Palatino Linotype" w:cs="Tahoma"/>
          <w:lang w:eastAsia="es-ES"/>
        </w:rPr>
        <w:t xml:space="preserve">hora bien, para el cambio de modalidad a “consulta directa”, </w:t>
      </w:r>
      <w:r w:rsidRPr="00837F1F">
        <w:rPr>
          <w:rFonts w:ascii="Palatino Linotype" w:eastAsia="Times New Roman" w:hAnsi="Palatino Linotype" w:cs="Tahoma"/>
          <w:lang w:eastAsia="es-ES"/>
        </w:rPr>
        <w:t>es pertinente mencionar que conforme a lo dispuesto en el artículo 158 de</w:t>
      </w:r>
      <w:r w:rsidR="00A52773">
        <w:rPr>
          <w:rFonts w:ascii="Palatino Linotype" w:eastAsia="Times New Roman" w:hAnsi="Palatino Linotype" w:cs="Tahoma"/>
          <w:lang w:eastAsia="es-ES"/>
        </w:rPr>
        <w:t xml:space="preserve"> la Ley de Transparencia </w:t>
      </w:r>
      <w:proofErr w:type="spellStart"/>
      <w:r w:rsidR="00A52773">
        <w:rPr>
          <w:rFonts w:ascii="Palatino Linotype" w:eastAsia="Times New Roman" w:hAnsi="Palatino Linotype" w:cs="Tahoma"/>
          <w:lang w:eastAsia="es-ES"/>
        </w:rPr>
        <w:t>supraindicada</w:t>
      </w:r>
      <w:proofErr w:type="spellEnd"/>
      <w:r w:rsidR="006177F1" w:rsidRPr="00837F1F">
        <w:rPr>
          <w:rFonts w:ascii="Palatino Linotype" w:eastAsia="Times New Roman" w:hAnsi="Palatino Linotype" w:cs="Tahoma"/>
          <w:lang w:eastAsia="es-ES"/>
        </w:rPr>
        <w:t>,</w:t>
      </w:r>
      <w:r w:rsidR="006177F1">
        <w:rPr>
          <w:rFonts w:ascii="Palatino Linotype" w:eastAsia="Times New Roman" w:hAnsi="Palatino Linotype" w:cs="Tahoma"/>
          <w:lang w:eastAsia="es-ES"/>
        </w:rPr>
        <w:t xml:space="preserve"> </w:t>
      </w:r>
      <w:r>
        <w:rPr>
          <w:rFonts w:ascii="Palatino Linotype" w:eastAsia="Times New Roman" w:hAnsi="Palatino Linotype" w:cs="Tahoma"/>
          <w:lang w:eastAsia="es-ES"/>
        </w:rPr>
        <w:t>corresponde a los Sujetos Obligados</w:t>
      </w:r>
      <w:r w:rsidR="006177F1">
        <w:rPr>
          <w:rFonts w:ascii="Palatino Linotype" w:eastAsia="Times New Roman" w:hAnsi="Palatino Linotype" w:cs="Tahoma"/>
          <w:lang w:eastAsia="es-ES"/>
        </w:rPr>
        <w:t>, de manera excepcional, poner a disposición de</w:t>
      </w:r>
      <w:r w:rsidR="00C73C77">
        <w:rPr>
          <w:rFonts w:ascii="Palatino Linotype" w:eastAsia="Times New Roman" w:hAnsi="Palatino Linotype" w:cs="Tahoma"/>
          <w:lang w:eastAsia="es-ES"/>
        </w:rPr>
        <w:t xml:space="preserve"> </w:t>
      </w:r>
      <w:r w:rsidR="006177F1">
        <w:rPr>
          <w:rFonts w:ascii="Palatino Linotype" w:eastAsia="Times New Roman" w:hAnsi="Palatino Linotype" w:cs="Tahoma"/>
          <w:lang w:eastAsia="es-ES"/>
        </w:rPr>
        <w:t>l</w:t>
      </w:r>
      <w:r w:rsidR="00C73C77">
        <w:rPr>
          <w:rFonts w:ascii="Palatino Linotype" w:eastAsia="Times New Roman" w:hAnsi="Palatino Linotype" w:cs="Tahoma"/>
          <w:lang w:eastAsia="es-ES"/>
        </w:rPr>
        <w:t xml:space="preserve">os </w:t>
      </w:r>
      <w:r w:rsidR="006177F1">
        <w:rPr>
          <w:rFonts w:ascii="Palatino Linotype" w:eastAsia="Times New Roman" w:hAnsi="Palatino Linotype" w:cs="Tahoma"/>
          <w:lang w:eastAsia="es-ES"/>
        </w:rPr>
        <w:t>solicitante</w:t>
      </w:r>
      <w:r w:rsidR="00C73C77">
        <w:rPr>
          <w:rFonts w:ascii="Palatino Linotype" w:eastAsia="Times New Roman" w:hAnsi="Palatino Linotype" w:cs="Tahoma"/>
          <w:lang w:eastAsia="es-ES"/>
        </w:rPr>
        <w:t>s</w:t>
      </w:r>
      <w:r w:rsidR="006177F1">
        <w:rPr>
          <w:rFonts w:ascii="Palatino Linotype" w:eastAsia="Times New Roman" w:hAnsi="Palatino Linotype" w:cs="Tahoma"/>
          <w:lang w:eastAsia="es-ES"/>
        </w:rPr>
        <w:t xml:space="preserve"> la información peticionada en consulta directa, siempre y cuando funde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y motive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su determinación, ya sea porque implique su an</w:t>
      </w:r>
      <w:r w:rsidR="002F7CD0">
        <w:rPr>
          <w:rFonts w:ascii="Palatino Linotype" w:eastAsia="Times New Roman" w:hAnsi="Palatino Linotype" w:cs="Tahoma"/>
          <w:lang w:eastAsia="es-ES"/>
        </w:rPr>
        <w:t xml:space="preserve">álisis, estudio o procesamiento de documentos cuya entrega o reproducción sobrepase las capacidades técnicas administrativas y humanas del Sujeto Obligado. </w:t>
      </w:r>
    </w:p>
    <w:p w:rsidR="009646BA" w:rsidRPr="0016389A" w:rsidRDefault="009646BA" w:rsidP="0016389A">
      <w:pPr>
        <w:spacing w:after="0" w:line="240" w:lineRule="auto"/>
        <w:ind w:right="49"/>
        <w:jc w:val="both"/>
        <w:rPr>
          <w:rFonts w:ascii="Palatino Linotype" w:eastAsia="Times New Roman" w:hAnsi="Palatino Linotype" w:cs="Tahoma"/>
          <w:i/>
          <w:sz w:val="16"/>
          <w:szCs w:val="16"/>
          <w:lang w:eastAsia="es-ES"/>
        </w:rPr>
      </w:pPr>
    </w:p>
    <w:p w:rsidR="002F7CD0" w:rsidRDefault="00A03B31" w:rsidP="00200F70">
      <w:pPr>
        <w:spacing w:line="360" w:lineRule="auto"/>
        <w:jc w:val="both"/>
        <w:rPr>
          <w:rFonts w:ascii="Palatino Linotype" w:eastAsia="Times New Roman" w:hAnsi="Palatino Linotype" w:cs="Tahoma"/>
          <w:lang w:eastAsia="es-ES"/>
        </w:rPr>
      </w:pPr>
      <w:r w:rsidRPr="00AF6ED9">
        <w:rPr>
          <w:rFonts w:ascii="Palatino Linotype" w:eastAsia="Times New Roman" w:hAnsi="Palatino Linotype" w:cs="Tahoma"/>
          <w:lang w:eastAsia="es-ES"/>
        </w:rPr>
        <w:t xml:space="preserve">Adicional a lo anterior, se </w:t>
      </w:r>
      <w:r w:rsidR="00AD71C4" w:rsidRPr="00AF6ED9">
        <w:rPr>
          <w:rFonts w:ascii="Palatino Linotype" w:eastAsia="Times New Roman" w:hAnsi="Palatino Linotype" w:cs="Tahoma"/>
          <w:lang w:eastAsia="es-ES"/>
        </w:rPr>
        <w:t>deberán acreditar</w:t>
      </w:r>
      <w:r w:rsidRPr="00AF6ED9">
        <w:rPr>
          <w:rFonts w:ascii="Palatino Linotype" w:eastAsia="Times New Roman" w:hAnsi="Palatino Linotype" w:cs="Tahoma"/>
          <w:lang w:eastAsia="es-ES"/>
        </w:rPr>
        <w:t xml:space="preserve"> lo dispuesto en el numeral Cincuenta y Cuatro de los </w:t>
      </w:r>
      <w:r w:rsidR="00AF6ED9" w:rsidRPr="00AF6ED9">
        <w:rPr>
          <w:rFonts w:ascii="Palatino Linotype" w:eastAsia="Times New Roman" w:hAnsi="Palatino Linotype" w:cs="Arial"/>
          <w:lang w:val="es-ES" w:eastAsia="es-E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00AF6ED9" w:rsidRPr="00AF6ED9">
        <w:rPr>
          <w:rStyle w:val="Refdenotaalpie"/>
          <w:rFonts w:ascii="Palatino Linotype" w:eastAsia="Times New Roman" w:hAnsi="Palatino Linotype" w:cs="Arial"/>
          <w:lang w:val="es-ES" w:eastAsia="es-ES"/>
        </w:rPr>
        <w:footnoteReference w:id="1"/>
      </w:r>
      <w:r w:rsidRPr="00AF6ED9">
        <w:rPr>
          <w:rFonts w:ascii="Palatino Linotype" w:eastAsia="Times New Roman" w:hAnsi="Palatino Linotype" w:cs="Tahoma"/>
          <w:lang w:eastAsia="es-ES"/>
        </w:rPr>
        <w:t xml:space="preserve"> </w:t>
      </w:r>
      <w:r w:rsidR="00AD71C4" w:rsidRPr="00AF6ED9">
        <w:rPr>
          <w:rFonts w:ascii="Palatino Linotype" w:eastAsia="Times New Roman" w:hAnsi="Palatino Linotype" w:cs="Tahoma"/>
          <w:lang w:eastAsia="es-ES"/>
        </w:rPr>
        <w:t xml:space="preserve"> </w:t>
      </w:r>
      <w:r w:rsidR="00AF6ED9" w:rsidRPr="00AF6ED9">
        <w:rPr>
          <w:rFonts w:ascii="Palatino Linotype" w:eastAsia="Times New Roman" w:hAnsi="Palatino Linotype" w:cs="Tahoma"/>
          <w:lang w:eastAsia="es-ES"/>
        </w:rPr>
        <w:t>que a la letra dispone: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
          <w:bCs/>
          <w:i/>
          <w:noProof/>
          <w:lang w:val="es-ES" w:eastAsia="es-ES"/>
        </w:rPr>
        <w:t>“CINCUENTA Y CUATRO.-</w:t>
      </w:r>
      <w:r w:rsidRPr="002F02E8">
        <w:rPr>
          <w:rFonts w:ascii="Palatino Linotype" w:eastAsia="Times New Roman" w:hAnsi="Palatino Linotype" w:cs="Arial"/>
          <w:bCs/>
          <w:i/>
          <w:noProof/>
          <w:lang w:val="es-ES" w:eastAsia="es-ES"/>
        </w:rPr>
        <w:t xml:space="preserve"> De acuerdo a lo dispuesto por el párrafo segundo del artículo 48 de la Ley, la información podrá ser entregada vía electrónica a través del SICOSIEM. </w:t>
      </w:r>
    </w:p>
    <w:p w:rsidR="00AF6ED9" w:rsidRPr="002F02E8" w:rsidRDefault="00AF6ED9" w:rsidP="007B409F">
      <w:pPr>
        <w:spacing w:after="0" w:line="240" w:lineRule="auto"/>
        <w:ind w:left="567" w:right="616"/>
        <w:jc w:val="both"/>
        <w:rPr>
          <w:rFonts w:ascii="Palatino Linotype" w:eastAsia="Times New Roman" w:hAnsi="Palatino Linotype" w:cs="Arial"/>
          <w:b/>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Es obligación del responsable de la Unidad de Información verificar que los archivos electrónicos que contengan la información entregada, se encuentra agregada al SICOSIEM.</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2F02E8">
        <w:rPr>
          <w:rFonts w:ascii="Palatino Linotype" w:eastAsia="Times New Roman" w:hAnsi="Palatino Linotype" w:cs="Arial"/>
          <w:bCs/>
          <w:i/>
          <w:noProof/>
          <w:lang w:val="es-ES" w:eastAsia="es-ES"/>
        </w:rPr>
        <w:t>, además de comunicarse vía telefónica de inmediato a efecto de que reciba el apoyo técnico correspondiente.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 xml:space="preserve">La omisión por parte del responsable de la Unidad de Información del procedimiento antes descrito presume la negativa de la entrega de la Información. </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lastRenderedPageBreak/>
        <w:t>Cuando la información no pueda ser remitida vía electrónica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se deberá fundar y motivar la resolución respectiva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explicando en todo momento las causas que impiden el envío de la información de forma electrónica</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El formato mencionado deberá estar agregado al expediente electrónico de la solicitud de información pública, en el estatus respectivo.</w:t>
      </w:r>
      <w:r w:rsidRPr="002F02E8">
        <w:rPr>
          <w:rFonts w:ascii="Palatino Linotype" w:eastAsia="Times New Roman" w:hAnsi="Palatino Linotype" w:cs="Arial"/>
          <w:b/>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 xml:space="preserve">             </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(Énfasis añadido).</w:t>
      </w:r>
    </w:p>
    <w:p w:rsidR="00837F1F" w:rsidRDefault="00837F1F" w:rsidP="002F02E8">
      <w:pPr>
        <w:spacing w:before="240" w:after="240" w:line="360" w:lineRule="auto"/>
        <w:ind w:right="616"/>
        <w:jc w:val="both"/>
        <w:rPr>
          <w:rFonts w:ascii="Palatino Linotype" w:eastAsia="Times New Roman" w:hAnsi="Palatino Linotype" w:cs="Arial"/>
          <w:lang w:val="es-ES" w:eastAsia="es-ES"/>
        </w:rPr>
      </w:pPr>
      <w:r w:rsidRPr="00837F1F">
        <w:rPr>
          <w:rFonts w:ascii="Palatino Linotype" w:eastAsia="Times New Roman" w:hAnsi="Palatino Linotype" w:cs="Arial"/>
          <w:lang w:val="es-ES" w:eastAsia="es-ES"/>
        </w:rPr>
        <w:t xml:space="preserve">Es así que los Sujetos Obligados deben respetar la forma de entrega de la información elegida por los Recurrentes para la entrega de la información, por lo tanto, si en el caso concreto se eligió a través del correo electrónico personal del peticionario, el titular de la  Unidad de Transparencia debió agregar los archivos electrónicos que contengan la información requerida en </w:t>
      </w:r>
      <w:r w:rsidR="00406F02">
        <w:rPr>
          <w:rFonts w:ascii="Palatino Linotype" w:eastAsia="Times New Roman" w:hAnsi="Palatino Linotype" w:cs="Arial"/>
          <w:lang w:val="es-ES" w:eastAsia="es-ES"/>
        </w:rPr>
        <w:t xml:space="preserve">la citada modalidad </w:t>
      </w:r>
      <w:r w:rsidRPr="00837F1F">
        <w:rPr>
          <w:rFonts w:ascii="Palatino Linotype" w:eastAsia="Times New Roman" w:hAnsi="Palatino Linotype" w:cs="Arial"/>
          <w:lang w:val="es-ES" w:eastAsia="es-ES"/>
        </w:rPr>
        <w:t xml:space="preserve">y sólo en caso de imposibilidad técnica, y previo aviso a este Instituto, puede optar por </w:t>
      </w:r>
      <w:r w:rsidR="007B409F">
        <w:rPr>
          <w:rFonts w:ascii="Palatino Linotype" w:eastAsia="Times New Roman" w:hAnsi="Palatino Linotype" w:cs="Arial"/>
          <w:lang w:val="es-ES" w:eastAsia="es-ES"/>
        </w:rPr>
        <w:t xml:space="preserve">cambiar la modalidad de entrega, lo cual omitió realizar el Sujeto Obligado. </w:t>
      </w:r>
      <w:r w:rsidRPr="00837F1F">
        <w:rPr>
          <w:rFonts w:ascii="Palatino Linotype" w:eastAsia="Times New Roman" w:hAnsi="Palatino Linotype" w:cs="Arial"/>
          <w:lang w:val="es-ES" w:eastAsia="es-ES"/>
        </w:rPr>
        <w:t xml:space="preserve">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rPr>
      </w:pPr>
      <w:r w:rsidRPr="002E6970">
        <w:rPr>
          <w:rFonts w:ascii="Palatino Linotype" w:hAnsi="Palatino Linotype" w:cs="Bookman Old Style"/>
        </w:rPr>
        <w:t>Adicional a lo expuesto es pertinente atender  lo expuesto en la “Relatoría Especial para la Libertad de Expresión Comisión de Derechos Humanos”</w:t>
      </w:r>
      <w:r w:rsidRPr="00A21954">
        <w:rPr>
          <w:rFonts w:ascii="Palatino Linotype" w:hAnsi="Palatino Linotype" w:cs="Bookman Old Style"/>
          <w:vertAlign w:val="superscript"/>
        </w:rPr>
        <w:footnoteReference w:id="2"/>
      </w:r>
      <w:r w:rsidRPr="002E6970">
        <w:rPr>
          <w:rFonts w:ascii="Palatino Linotype" w:hAnsi="Palatino Linotype" w:cs="Bookman Old Style"/>
        </w:rPr>
        <w:t>, que en su inciso “b”, punto 13 menciona:</w:t>
      </w: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b/>
          <w:i/>
        </w:rPr>
      </w:pPr>
      <w:r w:rsidRPr="002E6970">
        <w:rPr>
          <w:rFonts w:ascii="Palatino Linotype" w:hAnsi="Palatino Linotype" w:cs="Bookman Old Style"/>
          <w:i/>
        </w:rPr>
        <w:t>‘</w:t>
      </w:r>
      <w:r w:rsidRPr="002E6970">
        <w:rPr>
          <w:rFonts w:ascii="Palatino Linotype" w:hAnsi="Palatino Linotype" w:cs="Bookman Old Style"/>
          <w:b/>
          <w:i/>
        </w:rPr>
        <w:t>b. Carga de la probatoria para el Estado en caso de establecer limitaciones al derecho de acceso a la información</w:t>
      </w: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b/>
          <w:i/>
        </w:rPr>
      </w:pP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i/>
        </w:rPr>
      </w:pPr>
      <w:r w:rsidRPr="002E6970">
        <w:rPr>
          <w:rFonts w:ascii="Palatino Linotype" w:hAnsi="Palatino Linotype" w:cs="Bookman Old Style"/>
          <w:i/>
        </w:rPr>
        <w:t xml:space="preserve">13. La jurisprudencia de la Corte Interamericana ha establecido que e 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ene le ejercicio del derecho de acceso a la información, pues, al estar la información en control del Estado debe evitarse al máximo la actuación discrecional y arbitraje del mismo en el establecimiento de las restricciones al derecho’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sz w:val="24"/>
          <w:szCs w:val="24"/>
        </w:rPr>
      </w:pPr>
      <w:r w:rsidRPr="002E6970">
        <w:rPr>
          <w:rFonts w:ascii="Palatino Linotype" w:hAnsi="Palatino Linotype" w:cs="Bookman Old Style"/>
          <w:sz w:val="24"/>
          <w:szCs w:val="24"/>
        </w:rPr>
        <w:t xml:space="preserve">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rPr>
      </w:pPr>
      <w:r w:rsidRPr="002E6970">
        <w:rPr>
          <w:rFonts w:ascii="Palatino Linotype" w:hAnsi="Palatino Linotype" w:cs="Bookman Old Style"/>
        </w:rPr>
        <w:t xml:space="preserve">Lo anterior, robustece que es el Sujeto Obligado, </w:t>
      </w:r>
      <w:r w:rsidRPr="00A21954">
        <w:rPr>
          <w:rFonts w:ascii="Palatino Linotype" w:hAnsi="Palatino Linotype" w:cs="Bookman Old Style"/>
        </w:rPr>
        <w:t xml:space="preserve">a quien le fue solicitada la información materia de estudio, quien en todo caso debe demostrar el cambio de modalidad de acceso a la misma, otorgando con ello la debida seguridad jurídica todo gobernado y con ello la garantía del derecho humano de acceso a la información pública al hoy Recurrente.  </w:t>
      </w:r>
    </w:p>
    <w:p w:rsidR="004B548A" w:rsidRPr="004B548A" w:rsidRDefault="004B548A" w:rsidP="004B548A">
      <w:pPr>
        <w:spacing w:after="0" w:line="240" w:lineRule="auto"/>
        <w:ind w:right="-91"/>
        <w:jc w:val="both"/>
        <w:rPr>
          <w:rFonts w:ascii="Palatino Linotype" w:hAnsi="Palatino Linotype"/>
          <w:sz w:val="16"/>
          <w:szCs w:val="16"/>
        </w:rPr>
      </w:pPr>
    </w:p>
    <w:p w:rsidR="001860B8" w:rsidRPr="005D3F2D" w:rsidRDefault="001860B8" w:rsidP="000F1A2E">
      <w:pPr>
        <w:spacing w:line="360" w:lineRule="auto"/>
        <w:ind w:right="-93"/>
        <w:jc w:val="both"/>
        <w:rPr>
          <w:rFonts w:ascii="Palatino Linotype" w:hAnsi="Palatino Linotype"/>
        </w:rPr>
      </w:pPr>
      <w:r w:rsidRPr="005D3F2D">
        <w:rPr>
          <w:rFonts w:ascii="Palatino Linotype" w:hAnsi="Palatino Linotype"/>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5D3F2D" w:rsidTr="00816290">
        <w:trPr>
          <w:trHeight w:val="809"/>
          <w:jc w:val="center"/>
        </w:trPr>
        <w:tc>
          <w:tcPr>
            <w:tcW w:w="4396" w:type="dxa"/>
          </w:tcPr>
          <w:p w:rsidR="00952A40" w:rsidRDefault="00952A40" w:rsidP="002301FA">
            <w:pPr>
              <w:jc w:val="center"/>
              <w:rPr>
                <w:rFonts w:ascii="Palatino Linotype" w:hAnsi="Palatino Linotype"/>
                <w:b/>
              </w:rPr>
            </w:pPr>
          </w:p>
          <w:p w:rsidR="00952A40" w:rsidRDefault="00952A40" w:rsidP="002301FA">
            <w:pPr>
              <w:jc w:val="center"/>
              <w:rPr>
                <w:rFonts w:ascii="Palatino Linotype" w:hAnsi="Palatino Linotype"/>
                <w:b/>
              </w:rPr>
            </w:pPr>
          </w:p>
          <w:p w:rsidR="002974A0" w:rsidRDefault="002974A0" w:rsidP="002301FA">
            <w:pPr>
              <w:jc w:val="center"/>
              <w:rPr>
                <w:rFonts w:ascii="Palatino Linotype" w:hAnsi="Palatino Linotype"/>
                <w:b/>
              </w:rPr>
            </w:pPr>
          </w:p>
          <w:p w:rsidR="002974A0" w:rsidRDefault="002974A0" w:rsidP="002301FA">
            <w:pPr>
              <w:jc w:val="center"/>
              <w:rPr>
                <w:rFonts w:ascii="Palatino Linotype" w:hAnsi="Palatino Linotype"/>
                <w:b/>
              </w:rPr>
            </w:pPr>
          </w:p>
          <w:p w:rsidR="008775F5" w:rsidRPr="005D3F2D" w:rsidRDefault="008775F5" w:rsidP="002301FA">
            <w:pPr>
              <w:jc w:val="center"/>
              <w:rPr>
                <w:rFonts w:ascii="Palatino Linotype" w:hAnsi="Palatino Linotype"/>
                <w:b/>
              </w:rPr>
            </w:pPr>
            <w:r w:rsidRPr="005D3F2D">
              <w:rPr>
                <w:rFonts w:ascii="Palatino Linotype" w:hAnsi="Palatino Linotype"/>
                <w:b/>
              </w:rPr>
              <w:t>Javier Martínez Cruz</w:t>
            </w:r>
          </w:p>
        </w:tc>
      </w:tr>
      <w:tr w:rsidR="008775F5" w:rsidRPr="005D3F2D" w:rsidTr="00816290">
        <w:trPr>
          <w:trHeight w:val="319"/>
          <w:jc w:val="center"/>
        </w:trPr>
        <w:tc>
          <w:tcPr>
            <w:tcW w:w="4396" w:type="dxa"/>
          </w:tcPr>
          <w:p w:rsidR="00050203" w:rsidRPr="005D3F2D" w:rsidRDefault="008775F5" w:rsidP="000F26F0">
            <w:pPr>
              <w:jc w:val="center"/>
              <w:rPr>
                <w:rFonts w:ascii="Palatino Linotype" w:hAnsi="Palatino Linotype"/>
                <w:b/>
              </w:rPr>
            </w:pPr>
            <w:r w:rsidRPr="005D3F2D">
              <w:rPr>
                <w:rFonts w:ascii="Palatino Linotype" w:hAnsi="Palatino Linotype"/>
                <w:b/>
              </w:rPr>
              <w:t>Comisionado</w:t>
            </w:r>
          </w:p>
          <w:p w:rsidR="004C4FC6" w:rsidRPr="005D3F2D" w:rsidRDefault="00501FDC" w:rsidP="000F26F0">
            <w:pPr>
              <w:jc w:val="center"/>
              <w:rPr>
                <w:rFonts w:ascii="Palatino Linotype" w:hAnsi="Palatino Linotype"/>
              </w:rPr>
            </w:pPr>
            <w:r>
              <w:rPr>
                <w:rFonts w:ascii="Palatino Linotype" w:hAnsi="Palatino Linotype"/>
              </w:rPr>
              <w:t>(Rúbrica)</w:t>
            </w:r>
            <w:bookmarkStart w:id="0" w:name="_GoBack"/>
            <w:bookmarkEnd w:id="0"/>
          </w:p>
        </w:tc>
      </w:tr>
    </w:tbl>
    <w:p w:rsidR="00056BA4" w:rsidRPr="005D3F2D" w:rsidRDefault="00056BA4" w:rsidP="00650E2C">
      <w:pPr>
        <w:spacing w:after="0" w:line="240" w:lineRule="auto"/>
        <w:jc w:val="both"/>
        <w:rPr>
          <w:rFonts w:ascii="Palatino Linotype" w:hAnsi="Palatino Linotype" w:cs="Arial"/>
        </w:rPr>
      </w:pPr>
    </w:p>
    <w:sectPr w:rsidR="00056BA4" w:rsidRPr="005D3F2D"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AFD" w:rsidRDefault="00682AFD" w:rsidP="004E7F5E">
      <w:pPr>
        <w:spacing w:after="0" w:line="240" w:lineRule="auto"/>
      </w:pPr>
      <w:r>
        <w:separator/>
      </w:r>
    </w:p>
  </w:endnote>
  <w:endnote w:type="continuationSeparator" w:id="0">
    <w:p w:rsidR="00682AFD" w:rsidRDefault="00682AFD"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1FDC">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1FDC">
      <w:rPr>
        <w:rFonts w:ascii="Arial" w:hAnsi="Arial" w:cs="Arial"/>
        <w:b/>
        <w:bCs/>
        <w:noProof/>
        <w:sz w:val="20"/>
        <w:szCs w:val="20"/>
      </w:rPr>
      <w:t>9</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AFD" w:rsidRDefault="00682AFD" w:rsidP="004E7F5E">
      <w:pPr>
        <w:spacing w:after="0" w:line="240" w:lineRule="auto"/>
      </w:pPr>
      <w:r>
        <w:separator/>
      </w:r>
    </w:p>
  </w:footnote>
  <w:footnote w:type="continuationSeparator" w:id="0">
    <w:p w:rsidR="00682AFD" w:rsidRDefault="00682AFD" w:rsidP="004E7F5E">
      <w:pPr>
        <w:spacing w:after="0" w:line="240" w:lineRule="auto"/>
      </w:pPr>
      <w:r>
        <w:continuationSeparator/>
      </w:r>
    </w:p>
  </w:footnote>
  <w:footnote w:id="1">
    <w:p w:rsidR="00AF6ED9" w:rsidRDefault="00AF6ED9" w:rsidP="00965A21">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AF6ED9" w:rsidRDefault="00AF6ED9" w:rsidP="00965A21">
      <w:pPr>
        <w:pStyle w:val="Textonotapie"/>
        <w:jc w:val="both"/>
      </w:pPr>
      <w:r>
        <w:rPr>
          <w:rFonts w:ascii="Palatino Linotype" w:hAnsi="Palatino Linotype"/>
          <w:i/>
        </w:rPr>
        <w:t xml:space="preserve">Cabe destacar que el lineamiento citado refiere al SICOSIEM (Sistema de Control de Solicitudes de Información del Estado de México), no obstante, el sistema actual se denomina SAIMEX </w:t>
      </w:r>
      <w:r w:rsidR="00965A21">
        <w:rPr>
          <w:rFonts w:ascii="Palatino Linotype" w:hAnsi="Palatino Linotype"/>
          <w:i/>
        </w:rPr>
        <w:t>(Sistema de Acceso a la Información Mexiquense).</w:t>
      </w:r>
    </w:p>
  </w:footnote>
  <w:footnote w:id="2">
    <w:p w:rsidR="002E6970" w:rsidRPr="00BA45EA" w:rsidRDefault="002E6970" w:rsidP="002E6970">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82A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682AFD"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591E2C" w:rsidRDefault="00C46947" w:rsidP="00C46947">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03</w:t>
    </w:r>
    <w:r w:rsidR="00532C4A">
      <w:rPr>
        <w:rFonts w:ascii="Palatino Linotype" w:hAnsi="Palatino Linotype" w:cs="Arial"/>
        <w:b/>
        <w:bCs/>
        <w:sz w:val="20"/>
        <w:szCs w:val="20"/>
        <w:lang w:eastAsia="es-MX"/>
      </w:rPr>
      <w:t>976</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591E2C">
      <w:rPr>
        <w:rFonts w:ascii="Palatino Linotype" w:hAnsi="Palatino Linotype" w:cs="Arial"/>
        <w:b/>
        <w:bCs/>
        <w:sz w:val="20"/>
        <w:szCs w:val="20"/>
        <w:lang w:eastAsia="es-MX"/>
      </w:rPr>
      <w:t xml:space="preserve"> Y</w:t>
    </w:r>
  </w:p>
  <w:p w:rsidR="00C46947" w:rsidRDefault="00591E2C" w:rsidP="00C46947">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0</w:t>
    </w:r>
    <w:r w:rsidR="00532C4A">
      <w:rPr>
        <w:rFonts w:ascii="Palatino Linotype" w:hAnsi="Palatino Linotype" w:cs="Arial"/>
        <w:b/>
        <w:bCs/>
        <w:sz w:val="20"/>
        <w:szCs w:val="20"/>
        <w:lang w:eastAsia="es-MX"/>
      </w:rPr>
      <w:t>4050</w:t>
    </w:r>
    <w:r>
      <w:rPr>
        <w:rFonts w:ascii="Palatino Linotype" w:hAnsi="Palatino Linotype" w:cs="Arial"/>
        <w:b/>
        <w:bCs/>
        <w:sz w:val="20"/>
        <w:szCs w:val="20"/>
        <w:lang w:eastAsia="es-MX"/>
      </w:rPr>
      <w:t>/INFOEM/IP/RR/2018 ACUMULADOS</w:t>
    </w:r>
    <w:r w:rsidR="00B72322" w:rsidRPr="0022313A">
      <w:rPr>
        <w:rFonts w:ascii="Palatino Linotype" w:hAnsi="Palatino Linotype" w:cs="Arial"/>
        <w:b/>
        <w:bCs/>
        <w:sz w:val="20"/>
        <w:szCs w:val="20"/>
        <w:lang w:eastAsia="es-MX"/>
      </w:rPr>
      <w:t xml:space="preserve"> </w:t>
    </w:r>
  </w:p>
  <w:p w:rsidR="00591E2C" w:rsidRPr="0022313A" w:rsidRDefault="00591E2C" w:rsidP="00C46947">
    <w:pPr>
      <w:pStyle w:val="Encabezado"/>
      <w:jc w:val="right"/>
      <w:rPr>
        <w:rFonts w:ascii="Palatino Linotype" w:hAnsi="Palatino Linotype"/>
        <w:b/>
        <w:sz w:val="20"/>
        <w:szCs w:val="20"/>
      </w:rPr>
    </w:pP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82A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7B879CC"/>
    <w:multiLevelType w:val="hybridMultilevel"/>
    <w:tmpl w:val="D5D87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7747085"/>
    <w:multiLevelType w:val="hybridMultilevel"/>
    <w:tmpl w:val="C9100F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4"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10"/>
  </w:num>
  <w:num w:numId="6">
    <w:abstractNumId w:val="14"/>
  </w:num>
  <w:num w:numId="7">
    <w:abstractNumId w:val="15"/>
  </w:num>
  <w:num w:numId="8">
    <w:abstractNumId w:val="3"/>
  </w:num>
  <w:num w:numId="9">
    <w:abstractNumId w:val="13"/>
  </w:num>
  <w:num w:numId="10">
    <w:abstractNumId w:val="11"/>
  </w:num>
  <w:num w:numId="11">
    <w:abstractNumId w:val="0"/>
  </w:num>
  <w:num w:numId="12">
    <w:abstractNumId w:val="8"/>
  </w:num>
  <w:num w:numId="13">
    <w:abstractNumId w:val="5"/>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1FA"/>
    <w:rsid w:val="00050203"/>
    <w:rsid w:val="00053D8A"/>
    <w:rsid w:val="00055383"/>
    <w:rsid w:val="000556A8"/>
    <w:rsid w:val="000562B1"/>
    <w:rsid w:val="00056A42"/>
    <w:rsid w:val="00056BA4"/>
    <w:rsid w:val="00056BF3"/>
    <w:rsid w:val="00057D96"/>
    <w:rsid w:val="00066649"/>
    <w:rsid w:val="00066739"/>
    <w:rsid w:val="00067471"/>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544"/>
    <w:rsid w:val="00096D99"/>
    <w:rsid w:val="0009736E"/>
    <w:rsid w:val="00097552"/>
    <w:rsid w:val="000A0EDF"/>
    <w:rsid w:val="000A3419"/>
    <w:rsid w:val="000A37CA"/>
    <w:rsid w:val="000A42B1"/>
    <w:rsid w:val="000A582B"/>
    <w:rsid w:val="000B0984"/>
    <w:rsid w:val="000B106B"/>
    <w:rsid w:val="000C2F53"/>
    <w:rsid w:val="000C390D"/>
    <w:rsid w:val="000C56D0"/>
    <w:rsid w:val="000C5730"/>
    <w:rsid w:val="000C5B64"/>
    <w:rsid w:val="000D14F0"/>
    <w:rsid w:val="000D3D02"/>
    <w:rsid w:val="000D43CC"/>
    <w:rsid w:val="000D440E"/>
    <w:rsid w:val="000D4640"/>
    <w:rsid w:val="000D5073"/>
    <w:rsid w:val="000D5AD7"/>
    <w:rsid w:val="000D5C10"/>
    <w:rsid w:val="000E07A9"/>
    <w:rsid w:val="000E3756"/>
    <w:rsid w:val="000E47AB"/>
    <w:rsid w:val="000E4F5E"/>
    <w:rsid w:val="000E4FD5"/>
    <w:rsid w:val="000E5652"/>
    <w:rsid w:val="000E6F9C"/>
    <w:rsid w:val="000E743E"/>
    <w:rsid w:val="000E7C2C"/>
    <w:rsid w:val="000F17E0"/>
    <w:rsid w:val="000F189B"/>
    <w:rsid w:val="000F1A2E"/>
    <w:rsid w:val="000F26F0"/>
    <w:rsid w:val="000F39DD"/>
    <w:rsid w:val="000F548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48A"/>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389A"/>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F02"/>
    <w:rsid w:val="001860B8"/>
    <w:rsid w:val="00194E9A"/>
    <w:rsid w:val="0019565B"/>
    <w:rsid w:val="00197702"/>
    <w:rsid w:val="001A1018"/>
    <w:rsid w:val="001A155B"/>
    <w:rsid w:val="001A200B"/>
    <w:rsid w:val="001A20C7"/>
    <w:rsid w:val="001A2486"/>
    <w:rsid w:val="001A31BB"/>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1F76E7"/>
    <w:rsid w:val="00200F70"/>
    <w:rsid w:val="00203392"/>
    <w:rsid w:val="00203D6F"/>
    <w:rsid w:val="0020670F"/>
    <w:rsid w:val="00206DA6"/>
    <w:rsid w:val="00207FE6"/>
    <w:rsid w:val="00210753"/>
    <w:rsid w:val="002128D6"/>
    <w:rsid w:val="00214F41"/>
    <w:rsid w:val="002156F4"/>
    <w:rsid w:val="00217F26"/>
    <w:rsid w:val="00222983"/>
    <w:rsid w:val="00222E6F"/>
    <w:rsid w:val="0022313A"/>
    <w:rsid w:val="002251C2"/>
    <w:rsid w:val="0022598D"/>
    <w:rsid w:val="00226985"/>
    <w:rsid w:val="002301FA"/>
    <w:rsid w:val="00230241"/>
    <w:rsid w:val="00230D57"/>
    <w:rsid w:val="00232C74"/>
    <w:rsid w:val="00232C86"/>
    <w:rsid w:val="00233293"/>
    <w:rsid w:val="002337F8"/>
    <w:rsid w:val="00233F68"/>
    <w:rsid w:val="002350CD"/>
    <w:rsid w:val="0023607D"/>
    <w:rsid w:val="0023687B"/>
    <w:rsid w:val="00244F5E"/>
    <w:rsid w:val="00251938"/>
    <w:rsid w:val="00251A53"/>
    <w:rsid w:val="00253290"/>
    <w:rsid w:val="002537DC"/>
    <w:rsid w:val="00253FFE"/>
    <w:rsid w:val="002551CB"/>
    <w:rsid w:val="00255F64"/>
    <w:rsid w:val="00256C42"/>
    <w:rsid w:val="00256D25"/>
    <w:rsid w:val="00257CFE"/>
    <w:rsid w:val="00261495"/>
    <w:rsid w:val="00261762"/>
    <w:rsid w:val="00261B1F"/>
    <w:rsid w:val="00261F84"/>
    <w:rsid w:val="0026218D"/>
    <w:rsid w:val="002631B7"/>
    <w:rsid w:val="00264035"/>
    <w:rsid w:val="002647AD"/>
    <w:rsid w:val="002659B1"/>
    <w:rsid w:val="00267A2F"/>
    <w:rsid w:val="00267D51"/>
    <w:rsid w:val="00271037"/>
    <w:rsid w:val="002715EA"/>
    <w:rsid w:val="002751DE"/>
    <w:rsid w:val="002756DC"/>
    <w:rsid w:val="002768A4"/>
    <w:rsid w:val="0027781D"/>
    <w:rsid w:val="0027797A"/>
    <w:rsid w:val="00282114"/>
    <w:rsid w:val="0028230C"/>
    <w:rsid w:val="00282D10"/>
    <w:rsid w:val="002862EE"/>
    <w:rsid w:val="0028787D"/>
    <w:rsid w:val="00290395"/>
    <w:rsid w:val="00291A09"/>
    <w:rsid w:val="00293F5C"/>
    <w:rsid w:val="0029433A"/>
    <w:rsid w:val="002963D1"/>
    <w:rsid w:val="002974A0"/>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E6970"/>
    <w:rsid w:val="002F02E8"/>
    <w:rsid w:val="002F2C04"/>
    <w:rsid w:val="002F3106"/>
    <w:rsid w:val="002F5F5F"/>
    <w:rsid w:val="002F7CD0"/>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2BE9"/>
    <w:rsid w:val="00353B12"/>
    <w:rsid w:val="00356EF7"/>
    <w:rsid w:val="003577FB"/>
    <w:rsid w:val="003633CF"/>
    <w:rsid w:val="003636A3"/>
    <w:rsid w:val="003655A3"/>
    <w:rsid w:val="003670FA"/>
    <w:rsid w:val="00371AFE"/>
    <w:rsid w:val="00372AD0"/>
    <w:rsid w:val="00373349"/>
    <w:rsid w:val="0037354C"/>
    <w:rsid w:val="00375858"/>
    <w:rsid w:val="00381C9C"/>
    <w:rsid w:val="003821E6"/>
    <w:rsid w:val="00385164"/>
    <w:rsid w:val="00385516"/>
    <w:rsid w:val="00386108"/>
    <w:rsid w:val="00386D79"/>
    <w:rsid w:val="0039073D"/>
    <w:rsid w:val="00390A1D"/>
    <w:rsid w:val="00392E5E"/>
    <w:rsid w:val="00394BBA"/>
    <w:rsid w:val="00395B21"/>
    <w:rsid w:val="00395EFC"/>
    <w:rsid w:val="003972A2"/>
    <w:rsid w:val="003A1BC4"/>
    <w:rsid w:val="003A2F7F"/>
    <w:rsid w:val="003A3C8A"/>
    <w:rsid w:val="003A72BB"/>
    <w:rsid w:val="003B0A3E"/>
    <w:rsid w:val="003B1072"/>
    <w:rsid w:val="003B36D2"/>
    <w:rsid w:val="003B3C36"/>
    <w:rsid w:val="003B5016"/>
    <w:rsid w:val="003B5FBF"/>
    <w:rsid w:val="003C1430"/>
    <w:rsid w:val="003C2717"/>
    <w:rsid w:val="003C55B3"/>
    <w:rsid w:val="003C714C"/>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5BCE"/>
    <w:rsid w:val="003E7FD7"/>
    <w:rsid w:val="003F54EA"/>
    <w:rsid w:val="003F6045"/>
    <w:rsid w:val="0040160E"/>
    <w:rsid w:val="00401FC9"/>
    <w:rsid w:val="00404B2C"/>
    <w:rsid w:val="00404F09"/>
    <w:rsid w:val="00406F02"/>
    <w:rsid w:val="00407F23"/>
    <w:rsid w:val="00414324"/>
    <w:rsid w:val="00415574"/>
    <w:rsid w:val="00415C72"/>
    <w:rsid w:val="0041600F"/>
    <w:rsid w:val="00416635"/>
    <w:rsid w:val="00421827"/>
    <w:rsid w:val="00423412"/>
    <w:rsid w:val="00423A26"/>
    <w:rsid w:val="00423F5C"/>
    <w:rsid w:val="00425983"/>
    <w:rsid w:val="004265F4"/>
    <w:rsid w:val="00426A88"/>
    <w:rsid w:val="0043077C"/>
    <w:rsid w:val="00432641"/>
    <w:rsid w:val="004332ED"/>
    <w:rsid w:val="0043498E"/>
    <w:rsid w:val="00435C2D"/>
    <w:rsid w:val="0044097B"/>
    <w:rsid w:val="004410A9"/>
    <w:rsid w:val="0045294D"/>
    <w:rsid w:val="00452DD8"/>
    <w:rsid w:val="004542D4"/>
    <w:rsid w:val="004607C5"/>
    <w:rsid w:val="004616BD"/>
    <w:rsid w:val="004624D5"/>
    <w:rsid w:val="004642E4"/>
    <w:rsid w:val="00466A2B"/>
    <w:rsid w:val="00466B45"/>
    <w:rsid w:val="00473E92"/>
    <w:rsid w:val="004751B7"/>
    <w:rsid w:val="0047565B"/>
    <w:rsid w:val="00476ED1"/>
    <w:rsid w:val="00477A5A"/>
    <w:rsid w:val="004809B9"/>
    <w:rsid w:val="00482566"/>
    <w:rsid w:val="00482769"/>
    <w:rsid w:val="00483FF7"/>
    <w:rsid w:val="00486956"/>
    <w:rsid w:val="004873F6"/>
    <w:rsid w:val="00491129"/>
    <w:rsid w:val="0049314A"/>
    <w:rsid w:val="0049688B"/>
    <w:rsid w:val="004974D1"/>
    <w:rsid w:val="004A028F"/>
    <w:rsid w:val="004A063D"/>
    <w:rsid w:val="004A0E49"/>
    <w:rsid w:val="004A1AA8"/>
    <w:rsid w:val="004A39EA"/>
    <w:rsid w:val="004A41E2"/>
    <w:rsid w:val="004A4E01"/>
    <w:rsid w:val="004A7F19"/>
    <w:rsid w:val="004B2E72"/>
    <w:rsid w:val="004B4ECC"/>
    <w:rsid w:val="004B5241"/>
    <w:rsid w:val="004B548A"/>
    <w:rsid w:val="004B63AD"/>
    <w:rsid w:val="004B7785"/>
    <w:rsid w:val="004B7892"/>
    <w:rsid w:val="004C381C"/>
    <w:rsid w:val="004C4FC6"/>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1FDC"/>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2C4A"/>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B49"/>
    <w:rsid w:val="00564F2E"/>
    <w:rsid w:val="00564FE6"/>
    <w:rsid w:val="00575A23"/>
    <w:rsid w:val="005776B7"/>
    <w:rsid w:val="00577D85"/>
    <w:rsid w:val="00577DC3"/>
    <w:rsid w:val="00581E6C"/>
    <w:rsid w:val="00582061"/>
    <w:rsid w:val="00582D2C"/>
    <w:rsid w:val="00590084"/>
    <w:rsid w:val="005906A0"/>
    <w:rsid w:val="005906E8"/>
    <w:rsid w:val="00591560"/>
    <w:rsid w:val="00591DB8"/>
    <w:rsid w:val="00591E2C"/>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66F"/>
    <w:rsid w:val="005C08E0"/>
    <w:rsid w:val="005C2F76"/>
    <w:rsid w:val="005C315A"/>
    <w:rsid w:val="005C48FC"/>
    <w:rsid w:val="005C5351"/>
    <w:rsid w:val="005C5788"/>
    <w:rsid w:val="005C6771"/>
    <w:rsid w:val="005C7FFC"/>
    <w:rsid w:val="005D1A31"/>
    <w:rsid w:val="005D3F2D"/>
    <w:rsid w:val="005D4FD1"/>
    <w:rsid w:val="005D571A"/>
    <w:rsid w:val="005D7711"/>
    <w:rsid w:val="005E385C"/>
    <w:rsid w:val="005E440C"/>
    <w:rsid w:val="005E61BD"/>
    <w:rsid w:val="005E6525"/>
    <w:rsid w:val="005E7968"/>
    <w:rsid w:val="005E7E37"/>
    <w:rsid w:val="005F048A"/>
    <w:rsid w:val="005F3AA9"/>
    <w:rsid w:val="005F6A08"/>
    <w:rsid w:val="005F6F3D"/>
    <w:rsid w:val="005F7076"/>
    <w:rsid w:val="00601212"/>
    <w:rsid w:val="00603C38"/>
    <w:rsid w:val="00606DDB"/>
    <w:rsid w:val="00606E96"/>
    <w:rsid w:val="006108CE"/>
    <w:rsid w:val="00611681"/>
    <w:rsid w:val="00611952"/>
    <w:rsid w:val="00611DF2"/>
    <w:rsid w:val="006151E7"/>
    <w:rsid w:val="00616274"/>
    <w:rsid w:val="006177F1"/>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4FA6"/>
    <w:rsid w:val="0066767D"/>
    <w:rsid w:val="00667B95"/>
    <w:rsid w:val="0067147B"/>
    <w:rsid w:val="00671D19"/>
    <w:rsid w:val="006736DB"/>
    <w:rsid w:val="0067562A"/>
    <w:rsid w:val="00676933"/>
    <w:rsid w:val="0067791C"/>
    <w:rsid w:val="00680521"/>
    <w:rsid w:val="006827F2"/>
    <w:rsid w:val="00682AFD"/>
    <w:rsid w:val="00682BB3"/>
    <w:rsid w:val="00683514"/>
    <w:rsid w:val="00683DDE"/>
    <w:rsid w:val="00684ACA"/>
    <w:rsid w:val="0068651D"/>
    <w:rsid w:val="006901B5"/>
    <w:rsid w:val="006908C3"/>
    <w:rsid w:val="00693F7C"/>
    <w:rsid w:val="00694784"/>
    <w:rsid w:val="00694C86"/>
    <w:rsid w:val="006953FF"/>
    <w:rsid w:val="00695683"/>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3FD3"/>
    <w:rsid w:val="006D42E5"/>
    <w:rsid w:val="006D731B"/>
    <w:rsid w:val="006E0AEC"/>
    <w:rsid w:val="006E255A"/>
    <w:rsid w:val="006E2A9B"/>
    <w:rsid w:val="006E2BFD"/>
    <w:rsid w:val="006E34B8"/>
    <w:rsid w:val="006E3A08"/>
    <w:rsid w:val="006E4397"/>
    <w:rsid w:val="006E63D0"/>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0EDC"/>
    <w:rsid w:val="00733B37"/>
    <w:rsid w:val="00733C88"/>
    <w:rsid w:val="00733E59"/>
    <w:rsid w:val="00735F99"/>
    <w:rsid w:val="0074016E"/>
    <w:rsid w:val="007409FD"/>
    <w:rsid w:val="007411E3"/>
    <w:rsid w:val="00742921"/>
    <w:rsid w:val="00742F54"/>
    <w:rsid w:val="0074485A"/>
    <w:rsid w:val="00746F7F"/>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0DA7"/>
    <w:rsid w:val="007850CB"/>
    <w:rsid w:val="00790E57"/>
    <w:rsid w:val="0079186B"/>
    <w:rsid w:val="00792413"/>
    <w:rsid w:val="00794B8C"/>
    <w:rsid w:val="00797265"/>
    <w:rsid w:val="00797361"/>
    <w:rsid w:val="007A0BA3"/>
    <w:rsid w:val="007A18E4"/>
    <w:rsid w:val="007A277F"/>
    <w:rsid w:val="007A4602"/>
    <w:rsid w:val="007A7BF6"/>
    <w:rsid w:val="007B10BA"/>
    <w:rsid w:val="007B1FFA"/>
    <w:rsid w:val="007B3391"/>
    <w:rsid w:val="007B409F"/>
    <w:rsid w:val="007B41CD"/>
    <w:rsid w:val="007B66D8"/>
    <w:rsid w:val="007B69EA"/>
    <w:rsid w:val="007C1EE2"/>
    <w:rsid w:val="007C6FF1"/>
    <w:rsid w:val="007D2C55"/>
    <w:rsid w:val="007D667D"/>
    <w:rsid w:val="007D69C1"/>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03C0"/>
    <w:rsid w:val="00822844"/>
    <w:rsid w:val="00822918"/>
    <w:rsid w:val="008262F7"/>
    <w:rsid w:val="00827638"/>
    <w:rsid w:val="00827F75"/>
    <w:rsid w:val="00832161"/>
    <w:rsid w:val="008322EE"/>
    <w:rsid w:val="00834908"/>
    <w:rsid w:val="00835727"/>
    <w:rsid w:val="00837230"/>
    <w:rsid w:val="00837F1F"/>
    <w:rsid w:val="00843EE6"/>
    <w:rsid w:val="008459EE"/>
    <w:rsid w:val="008516F2"/>
    <w:rsid w:val="00852329"/>
    <w:rsid w:val="008525A3"/>
    <w:rsid w:val="00852F0D"/>
    <w:rsid w:val="00854AC4"/>
    <w:rsid w:val="00857730"/>
    <w:rsid w:val="00863B81"/>
    <w:rsid w:val="00866BB2"/>
    <w:rsid w:val="00870442"/>
    <w:rsid w:val="008712FC"/>
    <w:rsid w:val="00872969"/>
    <w:rsid w:val="008729B1"/>
    <w:rsid w:val="00873A75"/>
    <w:rsid w:val="00873C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B77CF"/>
    <w:rsid w:val="008C3D9C"/>
    <w:rsid w:val="008C496D"/>
    <w:rsid w:val="008C4FC0"/>
    <w:rsid w:val="008C69F7"/>
    <w:rsid w:val="008C6C73"/>
    <w:rsid w:val="008D17AF"/>
    <w:rsid w:val="008D4C93"/>
    <w:rsid w:val="008D6D23"/>
    <w:rsid w:val="008E228A"/>
    <w:rsid w:val="008E3C18"/>
    <w:rsid w:val="008E425D"/>
    <w:rsid w:val="008E47AD"/>
    <w:rsid w:val="008E4F87"/>
    <w:rsid w:val="008E5891"/>
    <w:rsid w:val="008E6760"/>
    <w:rsid w:val="008E6856"/>
    <w:rsid w:val="008F1B97"/>
    <w:rsid w:val="008F3EE4"/>
    <w:rsid w:val="008F56F1"/>
    <w:rsid w:val="008F726A"/>
    <w:rsid w:val="0090073F"/>
    <w:rsid w:val="0090404B"/>
    <w:rsid w:val="00904807"/>
    <w:rsid w:val="0090690F"/>
    <w:rsid w:val="00906932"/>
    <w:rsid w:val="009103E5"/>
    <w:rsid w:val="00910B6C"/>
    <w:rsid w:val="009130B9"/>
    <w:rsid w:val="009130E6"/>
    <w:rsid w:val="00913167"/>
    <w:rsid w:val="009171CB"/>
    <w:rsid w:val="00917FB4"/>
    <w:rsid w:val="009212D9"/>
    <w:rsid w:val="00921880"/>
    <w:rsid w:val="0092406A"/>
    <w:rsid w:val="00924E3B"/>
    <w:rsid w:val="009273D1"/>
    <w:rsid w:val="00931BB1"/>
    <w:rsid w:val="00931E83"/>
    <w:rsid w:val="00934B2E"/>
    <w:rsid w:val="00935E90"/>
    <w:rsid w:val="009376B6"/>
    <w:rsid w:val="00942B51"/>
    <w:rsid w:val="00951C7B"/>
    <w:rsid w:val="00952A40"/>
    <w:rsid w:val="00952FDA"/>
    <w:rsid w:val="0095511E"/>
    <w:rsid w:val="00955693"/>
    <w:rsid w:val="00956B51"/>
    <w:rsid w:val="009575B3"/>
    <w:rsid w:val="00960185"/>
    <w:rsid w:val="00960430"/>
    <w:rsid w:val="00961D8C"/>
    <w:rsid w:val="009646BA"/>
    <w:rsid w:val="009647CA"/>
    <w:rsid w:val="009653EB"/>
    <w:rsid w:val="00965A21"/>
    <w:rsid w:val="0096766D"/>
    <w:rsid w:val="00967754"/>
    <w:rsid w:val="009678C0"/>
    <w:rsid w:val="0097063B"/>
    <w:rsid w:val="00970B36"/>
    <w:rsid w:val="0097210F"/>
    <w:rsid w:val="00972DD5"/>
    <w:rsid w:val="00973744"/>
    <w:rsid w:val="00973B8F"/>
    <w:rsid w:val="0097472F"/>
    <w:rsid w:val="009752B5"/>
    <w:rsid w:val="00975E3E"/>
    <w:rsid w:val="009761A1"/>
    <w:rsid w:val="00985020"/>
    <w:rsid w:val="009859BF"/>
    <w:rsid w:val="00986B92"/>
    <w:rsid w:val="00990CD0"/>
    <w:rsid w:val="00992C45"/>
    <w:rsid w:val="009936CF"/>
    <w:rsid w:val="00995C22"/>
    <w:rsid w:val="00996283"/>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3848"/>
    <w:rsid w:val="009C7044"/>
    <w:rsid w:val="009D0F4D"/>
    <w:rsid w:val="009D4FB8"/>
    <w:rsid w:val="009E2E04"/>
    <w:rsid w:val="009E3486"/>
    <w:rsid w:val="009E51BB"/>
    <w:rsid w:val="009E53B7"/>
    <w:rsid w:val="009E5C1B"/>
    <w:rsid w:val="009E6743"/>
    <w:rsid w:val="009F1F01"/>
    <w:rsid w:val="009F50E8"/>
    <w:rsid w:val="009F7246"/>
    <w:rsid w:val="009F7D1D"/>
    <w:rsid w:val="00A0047B"/>
    <w:rsid w:val="00A03B31"/>
    <w:rsid w:val="00A053DB"/>
    <w:rsid w:val="00A06331"/>
    <w:rsid w:val="00A06DA1"/>
    <w:rsid w:val="00A07710"/>
    <w:rsid w:val="00A14F6A"/>
    <w:rsid w:val="00A15929"/>
    <w:rsid w:val="00A171ED"/>
    <w:rsid w:val="00A21954"/>
    <w:rsid w:val="00A21DC0"/>
    <w:rsid w:val="00A25334"/>
    <w:rsid w:val="00A26654"/>
    <w:rsid w:val="00A2789D"/>
    <w:rsid w:val="00A3259E"/>
    <w:rsid w:val="00A33997"/>
    <w:rsid w:val="00A33A99"/>
    <w:rsid w:val="00A35FBC"/>
    <w:rsid w:val="00A406BA"/>
    <w:rsid w:val="00A40ADA"/>
    <w:rsid w:val="00A418D2"/>
    <w:rsid w:val="00A4315D"/>
    <w:rsid w:val="00A43779"/>
    <w:rsid w:val="00A46651"/>
    <w:rsid w:val="00A467EF"/>
    <w:rsid w:val="00A5140D"/>
    <w:rsid w:val="00A51803"/>
    <w:rsid w:val="00A52773"/>
    <w:rsid w:val="00A52B9A"/>
    <w:rsid w:val="00A53050"/>
    <w:rsid w:val="00A53E9B"/>
    <w:rsid w:val="00A5446E"/>
    <w:rsid w:val="00A54674"/>
    <w:rsid w:val="00A5507A"/>
    <w:rsid w:val="00A57FB4"/>
    <w:rsid w:val="00A6000E"/>
    <w:rsid w:val="00A60286"/>
    <w:rsid w:val="00A6152F"/>
    <w:rsid w:val="00A65E23"/>
    <w:rsid w:val="00A66720"/>
    <w:rsid w:val="00A66C66"/>
    <w:rsid w:val="00A673AF"/>
    <w:rsid w:val="00A71F09"/>
    <w:rsid w:val="00A7286D"/>
    <w:rsid w:val="00A73DEC"/>
    <w:rsid w:val="00A7527D"/>
    <w:rsid w:val="00A775CF"/>
    <w:rsid w:val="00A7763C"/>
    <w:rsid w:val="00A8359B"/>
    <w:rsid w:val="00A86EE1"/>
    <w:rsid w:val="00A879C1"/>
    <w:rsid w:val="00AA1890"/>
    <w:rsid w:val="00AA3165"/>
    <w:rsid w:val="00AA5AE9"/>
    <w:rsid w:val="00AA64AC"/>
    <w:rsid w:val="00AA742A"/>
    <w:rsid w:val="00AB30DA"/>
    <w:rsid w:val="00AB364D"/>
    <w:rsid w:val="00AC2F68"/>
    <w:rsid w:val="00AD11BE"/>
    <w:rsid w:val="00AD2316"/>
    <w:rsid w:val="00AD33A9"/>
    <w:rsid w:val="00AD5147"/>
    <w:rsid w:val="00AD5BE2"/>
    <w:rsid w:val="00AD5BF8"/>
    <w:rsid w:val="00AD6F47"/>
    <w:rsid w:val="00AD71C4"/>
    <w:rsid w:val="00AD7B3A"/>
    <w:rsid w:val="00AE0D5F"/>
    <w:rsid w:val="00AE1206"/>
    <w:rsid w:val="00AE3666"/>
    <w:rsid w:val="00AE3D18"/>
    <w:rsid w:val="00AF0C8A"/>
    <w:rsid w:val="00AF137F"/>
    <w:rsid w:val="00AF19FD"/>
    <w:rsid w:val="00AF61C2"/>
    <w:rsid w:val="00AF6ED9"/>
    <w:rsid w:val="00AF7A99"/>
    <w:rsid w:val="00AF7CC4"/>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479E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07D5"/>
    <w:rsid w:val="00BA257B"/>
    <w:rsid w:val="00BA6D9D"/>
    <w:rsid w:val="00BA72D7"/>
    <w:rsid w:val="00BC1231"/>
    <w:rsid w:val="00BC2CA8"/>
    <w:rsid w:val="00BC425B"/>
    <w:rsid w:val="00BC4788"/>
    <w:rsid w:val="00BC6AC0"/>
    <w:rsid w:val="00BC6CAA"/>
    <w:rsid w:val="00BC7474"/>
    <w:rsid w:val="00BD0B9F"/>
    <w:rsid w:val="00BD2482"/>
    <w:rsid w:val="00BD40F9"/>
    <w:rsid w:val="00BD4572"/>
    <w:rsid w:val="00BD7632"/>
    <w:rsid w:val="00BE3097"/>
    <w:rsid w:val="00BE5589"/>
    <w:rsid w:val="00BE581A"/>
    <w:rsid w:val="00BE5877"/>
    <w:rsid w:val="00BE5AD0"/>
    <w:rsid w:val="00BF09AE"/>
    <w:rsid w:val="00BF13CB"/>
    <w:rsid w:val="00BF34FC"/>
    <w:rsid w:val="00BF39F9"/>
    <w:rsid w:val="00BF3ECA"/>
    <w:rsid w:val="00BF688C"/>
    <w:rsid w:val="00BF72ED"/>
    <w:rsid w:val="00BF7555"/>
    <w:rsid w:val="00BF7A3F"/>
    <w:rsid w:val="00C00387"/>
    <w:rsid w:val="00C01EFF"/>
    <w:rsid w:val="00C024AB"/>
    <w:rsid w:val="00C02FC6"/>
    <w:rsid w:val="00C03B35"/>
    <w:rsid w:val="00C041F2"/>
    <w:rsid w:val="00C05456"/>
    <w:rsid w:val="00C05F91"/>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081A"/>
    <w:rsid w:val="00C32C4F"/>
    <w:rsid w:val="00C355D9"/>
    <w:rsid w:val="00C35BB2"/>
    <w:rsid w:val="00C378E0"/>
    <w:rsid w:val="00C40391"/>
    <w:rsid w:val="00C42941"/>
    <w:rsid w:val="00C42BCD"/>
    <w:rsid w:val="00C434EE"/>
    <w:rsid w:val="00C4614C"/>
    <w:rsid w:val="00C46947"/>
    <w:rsid w:val="00C511C3"/>
    <w:rsid w:val="00C517B2"/>
    <w:rsid w:val="00C51F7E"/>
    <w:rsid w:val="00C5267B"/>
    <w:rsid w:val="00C57109"/>
    <w:rsid w:val="00C5755C"/>
    <w:rsid w:val="00C57E8F"/>
    <w:rsid w:val="00C60027"/>
    <w:rsid w:val="00C60577"/>
    <w:rsid w:val="00C615A3"/>
    <w:rsid w:val="00C6243F"/>
    <w:rsid w:val="00C63640"/>
    <w:rsid w:val="00C63738"/>
    <w:rsid w:val="00C651B3"/>
    <w:rsid w:val="00C6597C"/>
    <w:rsid w:val="00C66AB9"/>
    <w:rsid w:val="00C71A41"/>
    <w:rsid w:val="00C72436"/>
    <w:rsid w:val="00C73C77"/>
    <w:rsid w:val="00C74D98"/>
    <w:rsid w:val="00C75249"/>
    <w:rsid w:val="00C7550D"/>
    <w:rsid w:val="00C75F15"/>
    <w:rsid w:val="00C764BE"/>
    <w:rsid w:val="00C80FB1"/>
    <w:rsid w:val="00C812EA"/>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409F"/>
    <w:rsid w:val="00CB783F"/>
    <w:rsid w:val="00CB7F56"/>
    <w:rsid w:val="00CC10B2"/>
    <w:rsid w:val="00CC27D2"/>
    <w:rsid w:val="00CC291D"/>
    <w:rsid w:val="00CC2A00"/>
    <w:rsid w:val="00CC38B9"/>
    <w:rsid w:val="00CC4037"/>
    <w:rsid w:val="00CC535D"/>
    <w:rsid w:val="00CC5522"/>
    <w:rsid w:val="00CC65C4"/>
    <w:rsid w:val="00CC6F0B"/>
    <w:rsid w:val="00CC7EF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241C2"/>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03E"/>
    <w:rsid w:val="00D66FB6"/>
    <w:rsid w:val="00D7031D"/>
    <w:rsid w:val="00D70E50"/>
    <w:rsid w:val="00D71B39"/>
    <w:rsid w:val="00D75ED1"/>
    <w:rsid w:val="00D77519"/>
    <w:rsid w:val="00D82F11"/>
    <w:rsid w:val="00D84E60"/>
    <w:rsid w:val="00D85F7B"/>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2967"/>
    <w:rsid w:val="00DD492B"/>
    <w:rsid w:val="00DD5688"/>
    <w:rsid w:val="00DE22FA"/>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F0D"/>
    <w:rsid w:val="00E504DF"/>
    <w:rsid w:val="00E506F7"/>
    <w:rsid w:val="00E5148C"/>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02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347C"/>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5905"/>
    <w:rsid w:val="00F50083"/>
    <w:rsid w:val="00F53251"/>
    <w:rsid w:val="00F62E4B"/>
    <w:rsid w:val="00F64E32"/>
    <w:rsid w:val="00F65298"/>
    <w:rsid w:val="00F66590"/>
    <w:rsid w:val="00F7085F"/>
    <w:rsid w:val="00F7163D"/>
    <w:rsid w:val="00F73FE1"/>
    <w:rsid w:val="00F750A1"/>
    <w:rsid w:val="00F753C9"/>
    <w:rsid w:val="00F76B43"/>
    <w:rsid w:val="00F76E62"/>
    <w:rsid w:val="00F77169"/>
    <w:rsid w:val="00F81750"/>
    <w:rsid w:val="00F868AF"/>
    <w:rsid w:val="00F90C66"/>
    <w:rsid w:val="00F91E06"/>
    <w:rsid w:val="00F935BE"/>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07D"/>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B7958-81EB-46E1-821A-AC499A26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2345</Words>
  <Characters>12898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25</cp:revision>
  <cp:lastPrinted>2019-01-14T20:10:00Z</cp:lastPrinted>
  <dcterms:created xsi:type="dcterms:W3CDTF">2019-01-14T02:17:00Z</dcterms:created>
  <dcterms:modified xsi:type="dcterms:W3CDTF">2019-02-14T02:50:00Z</dcterms:modified>
</cp:coreProperties>
</file>